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4A268" w14:textId="545FE108" w:rsidR="002825AF" w:rsidRPr="007555CB" w:rsidRDefault="002825AF" w:rsidP="007555CB">
      <w:pPr>
        <w:rPr>
          <w:rFonts w:ascii="Bell MT" w:hAnsi="Bell MT"/>
          <w:b/>
          <w:sz w:val="32"/>
          <w:szCs w:val="32"/>
        </w:rPr>
      </w:pPr>
      <w:r w:rsidRPr="007555CB">
        <w:rPr>
          <w:rFonts w:ascii="Bell MT" w:hAnsi="Bell MT"/>
          <w:b/>
          <w:sz w:val="32"/>
          <w:szCs w:val="32"/>
        </w:rPr>
        <w:t xml:space="preserve">Beyond Critique: Some Problems </w:t>
      </w:r>
      <w:r w:rsidR="007555CB" w:rsidRPr="007555CB">
        <w:rPr>
          <w:rFonts w:ascii="Bell MT" w:hAnsi="Bell MT"/>
          <w:b/>
          <w:sz w:val="32"/>
          <w:szCs w:val="32"/>
        </w:rPr>
        <w:t xml:space="preserve">in the Analysis of </w:t>
      </w:r>
      <w:r w:rsidRPr="007555CB">
        <w:rPr>
          <w:rFonts w:ascii="Bell MT" w:hAnsi="Bell MT"/>
          <w:b/>
          <w:sz w:val="32"/>
          <w:szCs w:val="32"/>
        </w:rPr>
        <w:t xml:space="preserve">Educational Philosophy and Action </w:t>
      </w:r>
    </w:p>
    <w:p w14:paraId="6B7B8B27" w14:textId="77777777" w:rsidR="002825AF" w:rsidRPr="007555CB" w:rsidRDefault="002825AF" w:rsidP="002825AF">
      <w:pPr>
        <w:jc w:val="center"/>
        <w:rPr>
          <w:rFonts w:ascii="Bell MT" w:hAnsi="Bell MT"/>
        </w:rPr>
      </w:pPr>
    </w:p>
    <w:p w14:paraId="712A0D1A" w14:textId="3FC0537B" w:rsidR="002825AF" w:rsidRPr="007555CB" w:rsidRDefault="007555CB" w:rsidP="007555CB">
      <w:pPr>
        <w:rPr>
          <w:rFonts w:ascii="Bell MT" w:hAnsi="Bell MT" w:cs="Times New Roman"/>
          <w:sz w:val="28"/>
          <w:szCs w:val="28"/>
        </w:rPr>
      </w:pPr>
      <w:r>
        <w:rPr>
          <w:rFonts w:ascii="Bell MT" w:hAnsi="Bell MT" w:cs="Times New Roman"/>
          <w:sz w:val="28"/>
          <w:szCs w:val="28"/>
        </w:rPr>
        <w:t>ANDREW THOMPSON</w:t>
      </w:r>
    </w:p>
    <w:p w14:paraId="31F6783B" w14:textId="77777777" w:rsidR="007555CB" w:rsidRDefault="007555CB" w:rsidP="002825AF">
      <w:pPr>
        <w:jc w:val="center"/>
        <w:rPr>
          <w:rFonts w:ascii="Bell MT" w:hAnsi="Bell MT" w:cs="Times New Roman"/>
        </w:rPr>
      </w:pPr>
    </w:p>
    <w:p w14:paraId="75459EA5" w14:textId="0FFDD5CE" w:rsidR="002825AF" w:rsidRPr="007555CB" w:rsidRDefault="007555CB" w:rsidP="007555CB">
      <w:pPr>
        <w:rPr>
          <w:rFonts w:ascii="Bell MT" w:hAnsi="Bell MT" w:cs="Times New Roman"/>
          <w:i/>
        </w:rPr>
      </w:pPr>
      <w:r w:rsidRPr="007555CB">
        <w:rPr>
          <w:rFonts w:ascii="Bell MT" w:hAnsi="Bell MT" w:cs="Times New Roman"/>
          <w:i/>
        </w:rPr>
        <w:t xml:space="preserve">Doctoral Candidate, The </w:t>
      </w:r>
      <w:r w:rsidR="002825AF" w:rsidRPr="007555CB">
        <w:rPr>
          <w:rFonts w:ascii="Bell MT" w:hAnsi="Bell MT" w:cs="Times New Roman"/>
          <w:i/>
        </w:rPr>
        <w:t>University of Auckland</w:t>
      </w:r>
      <w:r w:rsidRPr="007555CB">
        <w:rPr>
          <w:rFonts w:ascii="Bell MT" w:hAnsi="Bell MT" w:cs="Times New Roman"/>
          <w:i/>
        </w:rPr>
        <w:t>, Critical Studies in Education</w:t>
      </w:r>
    </w:p>
    <w:p w14:paraId="1A500ADE" w14:textId="77777777" w:rsidR="00FA7205" w:rsidRPr="007555CB" w:rsidRDefault="00FA7205" w:rsidP="002825AF">
      <w:pPr>
        <w:jc w:val="center"/>
        <w:rPr>
          <w:rFonts w:ascii="Bell MT" w:hAnsi="Bell MT" w:cs="Times New Roman"/>
        </w:rPr>
      </w:pPr>
    </w:p>
    <w:p w14:paraId="44B3FF0F" w14:textId="77777777" w:rsidR="002825AF" w:rsidRPr="007555CB" w:rsidRDefault="002825AF" w:rsidP="002825AF">
      <w:pPr>
        <w:jc w:val="center"/>
        <w:rPr>
          <w:rFonts w:ascii="Bell MT" w:hAnsi="Bell MT"/>
        </w:rPr>
      </w:pPr>
    </w:p>
    <w:p w14:paraId="00FAAA5B" w14:textId="77777777" w:rsidR="009327FE" w:rsidRDefault="009327FE" w:rsidP="007555CB">
      <w:pPr>
        <w:spacing w:line="480" w:lineRule="auto"/>
        <w:rPr>
          <w:rFonts w:ascii="Bell MT" w:hAnsi="Bell MT"/>
        </w:rPr>
      </w:pPr>
    </w:p>
    <w:p w14:paraId="2B661251" w14:textId="77777777" w:rsidR="009327FE" w:rsidRPr="00077690" w:rsidRDefault="009327FE" w:rsidP="007555CB">
      <w:pPr>
        <w:spacing w:line="480" w:lineRule="auto"/>
        <w:rPr>
          <w:rFonts w:cs="Times New Roman"/>
          <w:b/>
          <w:sz w:val="28"/>
          <w:szCs w:val="28"/>
        </w:rPr>
      </w:pPr>
      <w:r w:rsidRPr="00077690">
        <w:rPr>
          <w:rFonts w:cs="Times New Roman"/>
          <w:b/>
          <w:sz w:val="28"/>
          <w:szCs w:val="28"/>
        </w:rPr>
        <w:t>Abstract</w:t>
      </w:r>
    </w:p>
    <w:p w14:paraId="45592D46" w14:textId="210E036E" w:rsidR="009327FE" w:rsidRPr="00181CDF" w:rsidRDefault="009327FE" w:rsidP="00181CDF">
      <w:pPr>
        <w:rPr>
          <w:i/>
        </w:rPr>
      </w:pPr>
      <w:r w:rsidRPr="00181CDF">
        <w:rPr>
          <w:i/>
        </w:rPr>
        <w:t xml:space="preserve">To the critical philosopher the system of popular education has historically failed. Although the adherent of deliberative democracy may disagree with the Marxist over the cause of its failure, both would find fault with the system’s inability to realise educational principles. However, the actual construction and administration of popular educational systems from the nineteenth century to the present have concerned themselves very little with the principles of the </w:t>
      </w:r>
      <w:r w:rsidR="00181CDF" w:rsidRPr="00181CDF">
        <w:rPr>
          <w:i/>
        </w:rPr>
        <w:t xml:space="preserve">theorist. Following the civil philosophy of Ian Hunter, </w:t>
      </w:r>
      <w:r w:rsidRPr="00181CDF">
        <w:rPr>
          <w:i/>
        </w:rPr>
        <w:t xml:space="preserve">this paper seeks to explore the history and perpetuation of this divide between theory and praxis towards a re-evaluation of critical educational methodology –– one that includes criticism of the comportment of the critic herself. </w:t>
      </w:r>
    </w:p>
    <w:p w14:paraId="31C92E64" w14:textId="77777777" w:rsidR="00181CDF" w:rsidRDefault="00181CDF" w:rsidP="00181CDF">
      <w:pPr>
        <w:rPr>
          <w:rFonts w:ascii="Bell MT" w:hAnsi="Bell MT"/>
          <w:b/>
        </w:rPr>
      </w:pPr>
    </w:p>
    <w:p w14:paraId="5FB2E503" w14:textId="77777777" w:rsidR="0098178D" w:rsidRDefault="0098178D" w:rsidP="00181CDF">
      <w:pPr>
        <w:rPr>
          <w:rFonts w:ascii="Bell MT" w:hAnsi="Bell MT"/>
          <w:b/>
        </w:rPr>
      </w:pPr>
    </w:p>
    <w:p w14:paraId="3D2FEC5A" w14:textId="122BD386" w:rsidR="0098178D" w:rsidRDefault="0098178D" w:rsidP="00181CDF">
      <w:pPr>
        <w:rPr>
          <w:rFonts w:ascii="Bell MT" w:hAnsi="Bell MT"/>
        </w:rPr>
      </w:pPr>
      <w:r>
        <w:rPr>
          <w:rFonts w:ascii="Bell MT" w:hAnsi="Bell MT"/>
          <w:b/>
        </w:rPr>
        <w:tab/>
      </w:r>
      <w:r>
        <w:rPr>
          <w:rFonts w:ascii="Bell MT" w:hAnsi="Bell MT"/>
        </w:rPr>
        <w:t>Keywords: democracy, education, praxis, Hunter</w:t>
      </w:r>
    </w:p>
    <w:p w14:paraId="26AE9235" w14:textId="77777777" w:rsidR="0098178D" w:rsidRDefault="0098178D" w:rsidP="00181CDF">
      <w:pPr>
        <w:rPr>
          <w:rFonts w:ascii="Bell MT" w:hAnsi="Bell MT"/>
        </w:rPr>
      </w:pPr>
    </w:p>
    <w:p w14:paraId="6D0890CF" w14:textId="77777777" w:rsidR="0098178D" w:rsidRDefault="0098178D" w:rsidP="00181CDF">
      <w:pPr>
        <w:rPr>
          <w:rFonts w:ascii="Bell MT" w:hAnsi="Bell MT"/>
        </w:rPr>
      </w:pPr>
    </w:p>
    <w:p w14:paraId="365E6E1B" w14:textId="77777777" w:rsidR="0098178D" w:rsidRPr="0098178D" w:rsidRDefault="0098178D" w:rsidP="00181CDF">
      <w:pPr>
        <w:rPr>
          <w:rFonts w:ascii="Bell MT" w:hAnsi="Bell MT"/>
        </w:rPr>
      </w:pPr>
    </w:p>
    <w:p w14:paraId="039D3785" w14:textId="05D97C2E" w:rsidR="00DC029A" w:rsidRPr="007555CB" w:rsidRDefault="001F7DDD" w:rsidP="0098178D">
      <w:pPr>
        <w:spacing w:line="276" w:lineRule="auto"/>
        <w:rPr>
          <w:rFonts w:ascii="Bell MT" w:hAnsi="Bell MT"/>
        </w:rPr>
      </w:pPr>
      <w:r w:rsidRPr="007555CB">
        <w:rPr>
          <w:rFonts w:ascii="Bell MT" w:hAnsi="Bell MT"/>
        </w:rPr>
        <w:t xml:space="preserve">The concepts ‘education’ and ‘democracy’ are as ancient as the Athenian </w:t>
      </w:r>
      <w:r w:rsidRPr="007555CB">
        <w:rPr>
          <w:rFonts w:ascii="Bell MT" w:hAnsi="Bell MT"/>
          <w:i/>
        </w:rPr>
        <w:t>polis</w:t>
      </w:r>
      <w:r w:rsidRPr="007555CB">
        <w:rPr>
          <w:rFonts w:ascii="Bell MT" w:hAnsi="Bell MT"/>
        </w:rPr>
        <w:t xml:space="preserve">. It is no surprise that modern theorists of education invoke the notion of </w:t>
      </w:r>
      <w:r w:rsidRPr="007555CB">
        <w:rPr>
          <w:rFonts w:ascii="Bell MT" w:hAnsi="Bell MT"/>
          <w:i/>
        </w:rPr>
        <w:t>paideia</w:t>
      </w:r>
      <w:r w:rsidRPr="007555CB">
        <w:rPr>
          <w:rFonts w:ascii="Bell MT" w:hAnsi="Bell MT"/>
        </w:rPr>
        <w:t xml:space="preserve"> in </w:t>
      </w:r>
      <w:r w:rsidR="00023F03" w:rsidRPr="007555CB">
        <w:rPr>
          <w:rFonts w:ascii="Bell MT" w:hAnsi="Bell MT"/>
        </w:rPr>
        <w:t>analyzing</w:t>
      </w:r>
      <w:r w:rsidRPr="007555CB">
        <w:rPr>
          <w:rFonts w:ascii="Bell MT" w:hAnsi="Bell MT"/>
        </w:rPr>
        <w:t xml:space="preserve"> the</w:t>
      </w:r>
      <w:r w:rsidR="00023F03" w:rsidRPr="007555CB">
        <w:rPr>
          <w:rFonts w:ascii="Bell MT" w:hAnsi="Bell MT"/>
        </w:rPr>
        <w:t xml:space="preserve"> current</w:t>
      </w:r>
      <w:r w:rsidRPr="007555CB">
        <w:rPr>
          <w:rFonts w:ascii="Bell MT" w:hAnsi="Bell MT"/>
        </w:rPr>
        <w:t xml:space="preserve"> state of democratic pedagogy</w:t>
      </w:r>
      <w:r w:rsidR="007F0BE0" w:rsidRPr="007555CB">
        <w:rPr>
          <w:rFonts w:ascii="Bell MT" w:hAnsi="Bell MT"/>
        </w:rPr>
        <w:t xml:space="preserve">. </w:t>
      </w:r>
      <w:r w:rsidR="002535AD" w:rsidRPr="007555CB">
        <w:rPr>
          <w:rFonts w:ascii="Bell MT" w:hAnsi="Bell MT"/>
        </w:rPr>
        <w:t xml:space="preserve">For example, </w:t>
      </w:r>
      <w:r w:rsidR="00023F03" w:rsidRPr="007555CB">
        <w:rPr>
          <w:rFonts w:ascii="Bell MT" w:hAnsi="Bell MT"/>
        </w:rPr>
        <w:t>Ingerid Straume hopes for a more emancipatory education in which the subject imaginatively determines the organization of society collectively</w:t>
      </w:r>
      <w:r w:rsidR="00C368D7" w:rsidRPr="007555CB">
        <w:rPr>
          <w:rFonts w:ascii="Bell MT" w:hAnsi="Bell MT"/>
        </w:rPr>
        <w:t xml:space="preserve"> (Straume, 2014)</w:t>
      </w:r>
      <w:r w:rsidR="00023F03" w:rsidRPr="007555CB">
        <w:rPr>
          <w:rFonts w:ascii="Bell MT" w:hAnsi="Bell MT"/>
        </w:rPr>
        <w:t xml:space="preserve">. </w:t>
      </w:r>
      <w:r w:rsidR="00DC3AF1" w:rsidRPr="007555CB">
        <w:rPr>
          <w:rFonts w:ascii="Bell MT" w:hAnsi="Bell MT"/>
        </w:rPr>
        <w:t>For Straume this collective process depends upon a certain formation of the self –– one grounded in the radical philosophy of Cornelius Castoriadis</w:t>
      </w:r>
      <w:r w:rsidR="00BB0D90" w:rsidRPr="007555CB">
        <w:rPr>
          <w:rFonts w:ascii="Bell MT" w:hAnsi="Bell MT"/>
        </w:rPr>
        <w:t xml:space="preserve"> whereby </w:t>
      </w:r>
      <w:r w:rsidR="00BB0D90" w:rsidRPr="007555CB">
        <w:rPr>
          <w:rFonts w:ascii="Bell MT" w:hAnsi="Bell MT"/>
          <w:i/>
        </w:rPr>
        <w:t>paideia</w:t>
      </w:r>
      <w:r w:rsidR="00BB0D90" w:rsidRPr="007555CB">
        <w:rPr>
          <w:rFonts w:ascii="Bell MT" w:hAnsi="Bell MT"/>
        </w:rPr>
        <w:t xml:space="preserve"> is equated with the eighteenth century notion of </w:t>
      </w:r>
      <w:r w:rsidR="00BB0D90" w:rsidRPr="007555CB">
        <w:rPr>
          <w:rFonts w:ascii="Bell MT" w:hAnsi="Bell MT"/>
          <w:i/>
        </w:rPr>
        <w:t>Bildung</w:t>
      </w:r>
      <w:r w:rsidR="00046527" w:rsidRPr="007555CB">
        <w:rPr>
          <w:rFonts w:ascii="Bell MT" w:hAnsi="Bell MT"/>
          <w:i/>
        </w:rPr>
        <w:t xml:space="preserve"> </w:t>
      </w:r>
      <w:r w:rsidR="00046527" w:rsidRPr="007555CB">
        <w:rPr>
          <w:rFonts w:ascii="Bell MT" w:hAnsi="Bell MT"/>
        </w:rPr>
        <w:t xml:space="preserve">(Straume, </w:t>
      </w:r>
      <w:r w:rsidR="00A756BA" w:rsidRPr="007555CB">
        <w:rPr>
          <w:rFonts w:ascii="Bell MT" w:hAnsi="Bell MT"/>
        </w:rPr>
        <w:t>2014</w:t>
      </w:r>
      <w:r w:rsidR="00046527" w:rsidRPr="007555CB">
        <w:rPr>
          <w:rFonts w:ascii="Bell MT" w:hAnsi="Bell MT"/>
        </w:rPr>
        <w:t>)</w:t>
      </w:r>
      <w:r w:rsidR="00DC3AF1" w:rsidRPr="007555CB">
        <w:rPr>
          <w:rFonts w:ascii="Bell MT" w:hAnsi="Bell MT"/>
        </w:rPr>
        <w:t>. Despite differences in technique, h</w:t>
      </w:r>
      <w:r w:rsidR="00023F03" w:rsidRPr="007555CB">
        <w:rPr>
          <w:rFonts w:ascii="Bell MT" w:hAnsi="Bell MT"/>
        </w:rPr>
        <w:t xml:space="preserve">er view is not </w:t>
      </w:r>
      <w:r w:rsidR="003445CF" w:rsidRPr="007555CB">
        <w:rPr>
          <w:rFonts w:ascii="Bell MT" w:hAnsi="Bell MT"/>
        </w:rPr>
        <w:t xml:space="preserve">entirely </w:t>
      </w:r>
      <w:r w:rsidR="00023F03" w:rsidRPr="007555CB">
        <w:rPr>
          <w:rFonts w:ascii="Bell MT" w:hAnsi="Bell MT"/>
        </w:rPr>
        <w:t xml:space="preserve">dissimilar to Henry Giroux’s who </w:t>
      </w:r>
      <w:r w:rsidR="00DC3AF1" w:rsidRPr="007555CB">
        <w:rPr>
          <w:rFonts w:ascii="Bell MT" w:hAnsi="Bell MT"/>
        </w:rPr>
        <w:t>advances a utopian project towards ‘educated hope</w:t>
      </w:r>
      <w:r w:rsidR="00A756BA" w:rsidRPr="007555CB">
        <w:rPr>
          <w:rFonts w:ascii="Bell MT" w:hAnsi="Bell MT"/>
        </w:rPr>
        <w:t xml:space="preserve"> (Giroux, 2003)</w:t>
      </w:r>
      <w:r w:rsidR="00DC3AF1" w:rsidRPr="007555CB">
        <w:rPr>
          <w:rFonts w:ascii="Bell MT" w:hAnsi="Bell MT"/>
        </w:rPr>
        <w:t xml:space="preserve">.’ </w:t>
      </w:r>
      <w:r w:rsidR="00F50517" w:rsidRPr="007555CB">
        <w:rPr>
          <w:rFonts w:ascii="Bell MT" w:hAnsi="Bell MT"/>
        </w:rPr>
        <w:t>For Giroux, ‘any politics of hope must tap into individual experiences while at the same time linking individual responsibility with a progressive sense of social agency (</w:t>
      </w:r>
      <w:r w:rsidR="00A756BA" w:rsidRPr="007555CB">
        <w:rPr>
          <w:rFonts w:ascii="Bell MT" w:hAnsi="Bell MT"/>
        </w:rPr>
        <w:t>Giroux, p. 100).</w:t>
      </w:r>
      <w:r w:rsidR="00F50517" w:rsidRPr="007555CB">
        <w:rPr>
          <w:rFonts w:ascii="Bell MT" w:hAnsi="Bell MT"/>
        </w:rPr>
        <w:t xml:space="preserve">’ </w:t>
      </w:r>
    </w:p>
    <w:p w14:paraId="449A9DAB" w14:textId="41C32E91" w:rsidR="004223F5" w:rsidRPr="007555CB" w:rsidRDefault="00BB0D90" w:rsidP="0098178D">
      <w:pPr>
        <w:spacing w:line="276" w:lineRule="auto"/>
        <w:ind w:firstLine="720"/>
        <w:rPr>
          <w:rFonts w:ascii="Bell MT" w:hAnsi="Bell MT"/>
        </w:rPr>
      </w:pPr>
      <w:r w:rsidRPr="007555CB">
        <w:rPr>
          <w:rFonts w:ascii="Bell MT" w:hAnsi="Bell MT"/>
        </w:rPr>
        <w:t xml:space="preserve">Straume and Giroux criticize popular education for failing to </w:t>
      </w:r>
      <w:r w:rsidR="002535AD" w:rsidRPr="007555CB">
        <w:rPr>
          <w:rFonts w:ascii="Bell MT" w:hAnsi="Bell MT"/>
        </w:rPr>
        <w:t>live up to principles of democracy –– principles that have remained external to the school’s purview since its inception. Indeed</w:t>
      </w:r>
      <w:r w:rsidR="00E448A2" w:rsidRPr="007555CB">
        <w:rPr>
          <w:rFonts w:ascii="Bell MT" w:hAnsi="Bell MT"/>
        </w:rPr>
        <w:t>,</w:t>
      </w:r>
      <w:r w:rsidR="002535AD" w:rsidRPr="007555CB">
        <w:rPr>
          <w:rFonts w:ascii="Bell MT" w:hAnsi="Bell MT"/>
        </w:rPr>
        <w:t xml:space="preserve"> the critical theorist of education </w:t>
      </w:r>
      <w:r w:rsidR="00E448A2" w:rsidRPr="007555CB">
        <w:rPr>
          <w:rFonts w:ascii="Bell MT" w:hAnsi="Bell MT"/>
        </w:rPr>
        <w:t>defines herself by means of her</w:t>
      </w:r>
      <w:r w:rsidR="002535AD" w:rsidRPr="007555CB">
        <w:rPr>
          <w:rFonts w:ascii="Bell MT" w:hAnsi="Bell MT"/>
        </w:rPr>
        <w:t xml:space="preserve"> distance from the historical operation</w:t>
      </w:r>
      <w:r w:rsidR="00E448A2" w:rsidRPr="007555CB">
        <w:rPr>
          <w:rFonts w:ascii="Bell MT" w:hAnsi="Bell MT"/>
        </w:rPr>
        <w:t xml:space="preserve"> of the school. In this paper, I </w:t>
      </w:r>
      <w:r w:rsidR="002535AD" w:rsidRPr="007555CB">
        <w:rPr>
          <w:rFonts w:ascii="Bell MT" w:hAnsi="Bell MT"/>
        </w:rPr>
        <w:t xml:space="preserve">aim to show that the legacy of theory has more to do with the comportment of the theorist rather than the object of her criticism. In order to do so, I will </w:t>
      </w:r>
      <w:r w:rsidR="00942B0E" w:rsidRPr="007555CB">
        <w:rPr>
          <w:rFonts w:ascii="Bell MT" w:hAnsi="Bell MT"/>
        </w:rPr>
        <w:t xml:space="preserve">paint in broad strokes the historical landscape </w:t>
      </w:r>
      <w:r w:rsidR="002535AD" w:rsidRPr="007555CB">
        <w:rPr>
          <w:rFonts w:ascii="Bell MT" w:hAnsi="Bell MT"/>
        </w:rPr>
        <w:t xml:space="preserve">of the school and the critical theorist’s reaction to it. In particular, I will </w:t>
      </w:r>
      <w:r w:rsidR="00942B0E" w:rsidRPr="007555CB">
        <w:rPr>
          <w:rFonts w:ascii="Bell MT" w:hAnsi="Bell MT"/>
        </w:rPr>
        <w:t>borrow heavily from Ian Hunter’s civil philosophy in tracing</w:t>
      </w:r>
      <w:r w:rsidR="002535AD" w:rsidRPr="007555CB">
        <w:rPr>
          <w:rFonts w:ascii="Bell MT" w:hAnsi="Bell MT"/>
        </w:rPr>
        <w:t xml:space="preserve"> the history of the intersection of the concepts </w:t>
      </w:r>
      <w:r w:rsidR="002535AD" w:rsidRPr="007555CB">
        <w:rPr>
          <w:rFonts w:ascii="Bell MT" w:hAnsi="Bell MT"/>
        </w:rPr>
        <w:lastRenderedPageBreak/>
        <w:t>‘education’ and ‘democracy’ with the concept of ‘modernity.’ In so doing, I hope to reveal that the theorist routinely misreads history and politics –– in fact, she attempts to transcend them both</w:t>
      </w:r>
      <w:r w:rsidR="00E448A2" w:rsidRPr="007555CB">
        <w:rPr>
          <w:rFonts w:ascii="Bell MT" w:hAnsi="Bell MT"/>
        </w:rPr>
        <w:t xml:space="preserve">, thus avoiding meaningful political engagement. Following this historical overview I will compare political and educational programmes of theorists who are </w:t>
      </w:r>
      <w:r w:rsidR="004223F5" w:rsidRPr="007555CB">
        <w:rPr>
          <w:rFonts w:ascii="Bell MT" w:hAnsi="Bell MT"/>
        </w:rPr>
        <w:t>currently en vogue –– notably Jü</w:t>
      </w:r>
      <w:r w:rsidR="00E448A2" w:rsidRPr="007555CB">
        <w:rPr>
          <w:rFonts w:ascii="Bell MT" w:hAnsi="Bell MT"/>
        </w:rPr>
        <w:t>rgen Habermas, Michael Hardt and Antonio Negri, Giorgrio Agamben, and Cornel</w:t>
      </w:r>
      <w:r w:rsidR="004223F5" w:rsidRPr="007555CB">
        <w:rPr>
          <w:rFonts w:ascii="Bell MT" w:hAnsi="Bell MT"/>
        </w:rPr>
        <w:t>ius Castoriadis. Through this comparison I intend to highlight problems in the relationship between theory and praxis in the sphere of education and to evaluate the importance of political history if theorists are to overcome their adherence to moral high-ground towards a less principled understand</w:t>
      </w:r>
      <w:r w:rsidR="003445CF" w:rsidRPr="007555CB">
        <w:rPr>
          <w:rFonts w:ascii="Bell MT" w:hAnsi="Bell MT"/>
        </w:rPr>
        <w:t>ing</w:t>
      </w:r>
      <w:r w:rsidR="004223F5" w:rsidRPr="007555CB">
        <w:rPr>
          <w:rFonts w:ascii="Bell MT" w:hAnsi="Bell MT"/>
        </w:rPr>
        <w:t xml:space="preserve"> of state schooling (Hunter</w:t>
      </w:r>
      <w:r w:rsidR="00A87E15" w:rsidRPr="007555CB">
        <w:rPr>
          <w:rFonts w:ascii="Bell MT" w:hAnsi="Bell MT"/>
        </w:rPr>
        <w:t>, 1993; Hunter 1994</w:t>
      </w:r>
      <w:r w:rsidR="004223F5" w:rsidRPr="007555CB">
        <w:rPr>
          <w:rFonts w:ascii="Bell MT" w:hAnsi="Bell MT"/>
        </w:rPr>
        <w:t>).</w:t>
      </w:r>
    </w:p>
    <w:p w14:paraId="1F3EDC88" w14:textId="6474C990" w:rsidR="001F63B4" w:rsidRPr="007555CB" w:rsidRDefault="004223F5" w:rsidP="0098178D">
      <w:pPr>
        <w:spacing w:line="276" w:lineRule="auto"/>
        <w:rPr>
          <w:rFonts w:ascii="Bell MT" w:hAnsi="Bell MT"/>
        </w:rPr>
      </w:pPr>
      <w:r w:rsidRPr="007555CB">
        <w:rPr>
          <w:rFonts w:ascii="Bell MT" w:hAnsi="Bell MT"/>
        </w:rPr>
        <w:tab/>
      </w:r>
      <w:r w:rsidR="00AD30E8" w:rsidRPr="007555CB">
        <w:rPr>
          <w:rFonts w:ascii="Bell MT" w:hAnsi="Bell MT"/>
        </w:rPr>
        <w:t>It is impossible to discuss education and democracy without addressing John Dewey’s seminal work</w:t>
      </w:r>
      <w:r w:rsidR="00DC029A" w:rsidRPr="007555CB">
        <w:rPr>
          <w:rFonts w:ascii="Bell MT" w:hAnsi="Bell MT"/>
        </w:rPr>
        <w:t xml:space="preserve"> (Dewey, </w:t>
      </w:r>
      <w:r w:rsidR="008C591C" w:rsidRPr="007555CB">
        <w:rPr>
          <w:rFonts w:ascii="Bell MT" w:hAnsi="Bell MT"/>
        </w:rPr>
        <w:t>1916</w:t>
      </w:r>
      <w:r w:rsidR="00DC029A" w:rsidRPr="007555CB">
        <w:rPr>
          <w:rFonts w:ascii="Bell MT" w:hAnsi="Bell MT"/>
        </w:rPr>
        <w:t>)</w:t>
      </w:r>
      <w:r w:rsidR="00AD30E8" w:rsidRPr="007555CB">
        <w:rPr>
          <w:rFonts w:ascii="Bell MT" w:hAnsi="Bell MT"/>
        </w:rPr>
        <w:t>. Dewey’s treatment of education and democracy are central to his pragmatism, which is particularly relevant to this study with regard to Dewey’</w:t>
      </w:r>
      <w:r w:rsidR="00AA6BBB" w:rsidRPr="007555CB">
        <w:rPr>
          <w:rFonts w:ascii="Bell MT" w:hAnsi="Bell MT"/>
        </w:rPr>
        <w:t xml:space="preserve">s reading of history and </w:t>
      </w:r>
      <w:r w:rsidR="00AD30E8" w:rsidRPr="007555CB">
        <w:rPr>
          <w:rFonts w:ascii="Bell MT" w:hAnsi="Bell MT"/>
        </w:rPr>
        <w:t xml:space="preserve">politics </w:t>
      </w:r>
      <w:r w:rsidR="00A60C2B" w:rsidRPr="007555CB">
        <w:rPr>
          <w:rFonts w:ascii="Bell MT" w:hAnsi="Bell MT"/>
        </w:rPr>
        <w:t>to which I will return below</w:t>
      </w:r>
      <w:r w:rsidR="00AD30E8" w:rsidRPr="007555CB">
        <w:rPr>
          <w:rFonts w:ascii="Bell MT" w:hAnsi="Bell MT"/>
        </w:rPr>
        <w:t>.</w:t>
      </w:r>
      <w:r w:rsidR="00DC029A" w:rsidRPr="007555CB">
        <w:rPr>
          <w:rFonts w:ascii="Bell MT" w:hAnsi="Bell MT"/>
        </w:rPr>
        <w:t xml:space="preserve"> Before </w:t>
      </w:r>
      <w:r w:rsidR="009627F8" w:rsidRPr="007555CB">
        <w:rPr>
          <w:rFonts w:ascii="Bell MT" w:hAnsi="Bell MT"/>
        </w:rPr>
        <w:t>endeavouring</w:t>
      </w:r>
      <w:r w:rsidR="00A60C2B" w:rsidRPr="007555CB">
        <w:rPr>
          <w:rFonts w:ascii="Bell MT" w:hAnsi="Bell MT"/>
        </w:rPr>
        <w:t xml:space="preserve"> to analyse the relationship between the state and the school</w:t>
      </w:r>
      <w:r w:rsidR="00DC029A" w:rsidRPr="007555CB">
        <w:rPr>
          <w:rFonts w:ascii="Bell MT" w:hAnsi="Bell MT"/>
        </w:rPr>
        <w:t xml:space="preserve"> as well as </w:t>
      </w:r>
      <w:r w:rsidR="00A926F5" w:rsidRPr="007555CB">
        <w:rPr>
          <w:rFonts w:ascii="Bell MT" w:hAnsi="Bell MT"/>
        </w:rPr>
        <w:t>Dewey’s role therein,</w:t>
      </w:r>
      <w:r w:rsidR="009627F8" w:rsidRPr="007555CB">
        <w:rPr>
          <w:rFonts w:ascii="Bell MT" w:hAnsi="Bell MT"/>
        </w:rPr>
        <w:t xml:space="preserve"> it seems</w:t>
      </w:r>
      <w:r w:rsidR="00A60C2B" w:rsidRPr="007555CB">
        <w:rPr>
          <w:rFonts w:ascii="Bell MT" w:hAnsi="Bell MT"/>
        </w:rPr>
        <w:t xml:space="preserve"> necessary to define the idea of sovereignty, or at the very least to locate its origins historically.</w:t>
      </w:r>
      <w:r w:rsidR="00407BCA" w:rsidRPr="007555CB">
        <w:rPr>
          <w:rFonts w:ascii="Bell MT" w:hAnsi="Bell MT"/>
        </w:rPr>
        <w:t xml:space="preserve"> </w:t>
      </w:r>
      <w:r w:rsidR="00A60C2B" w:rsidRPr="007555CB">
        <w:rPr>
          <w:rFonts w:ascii="Bell MT" w:hAnsi="Bell MT"/>
        </w:rPr>
        <w:t>Commonly, sovereignty is equated with the state itself</w:t>
      </w:r>
      <w:r w:rsidR="00DC029A" w:rsidRPr="007555CB">
        <w:rPr>
          <w:rFonts w:ascii="Bell MT" w:hAnsi="Bell MT"/>
        </w:rPr>
        <w:t xml:space="preserve"> </w:t>
      </w:r>
      <w:r w:rsidR="001A1D6A" w:rsidRPr="007555CB">
        <w:rPr>
          <w:rFonts w:ascii="Bell MT" w:hAnsi="Bell MT"/>
        </w:rPr>
        <w:t xml:space="preserve">and since this paper is concerned with state schooling, an attempt to distinguish the idea of statehood from sovereignty </w:t>
      </w:r>
      <w:r w:rsidR="00AC0312" w:rsidRPr="007555CB">
        <w:rPr>
          <w:rFonts w:ascii="Bell MT" w:hAnsi="Bell MT"/>
        </w:rPr>
        <w:t>is paramount</w:t>
      </w:r>
      <w:r w:rsidR="001A1D6A" w:rsidRPr="007555CB">
        <w:rPr>
          <w:rFonts w:ascii="Bell MT" w:hAnsi="Bell MT"/>
        </w:rPr>
        <w:t xml:space="preserve">. </w:t>
      </w:r>
      <w:r w:rsidR="00354679" w:rsidRPr="007555CB">
        <w:rPr>
          <w:rFonts w:ascii="Bell MT" w:hAnsi="Bell MT"/>
        </w:rPr>
        <w:t xml:space="preserve">In truth sovereignty’s </w:t>
      </w:r>
      <w:r w:rsidR="00DC029A" w:rsidRPr="007555CB">
        <w:rPr>
          <w:rFonts w:ascii="Bell MT" w:hAnsi="Bell MT"/>
        </w:rPr>
        <w:t>structure is state-bound, mea</w:t>
      </w:r>
      <w:r w:rsidR="003445CF" w:rsidRPr="007555CB">
        <w:rPr>
          <w:rFonts w:ascii="Bell MT" w:hAnsi="Bell MT"/>
        </w:rPr>
        <w:t>ning its domain is territorial</w:t>
      </w:r>
      <w:r w:rsidR="00DC029A" w:rsidRPr="007555CB">
        <w:rPr>
          <w:rFonts w:ascii="Bell MT" w:hAnsi="Bell MT"/>
        </w:rPr>
        <w:t xml:space="preserve"> in that it concerns a particular place and population. However, sovereignty is </w:t>
      </w:r>
      <w:r w:rsidR="00B465CC" w:rsidRPr="007555CB">
        <w:rPr>
          <w:rFonts w:ascii="Bell MT" w:hAnsi="Bell MT"/>
        </w:rPr>
        <w:t xml:space="preserve">a power ‘to do’ or ‘to act’ on a grand scale. </w:t>
      </w:r>
      <w:r w:rsidR="00A60C2B" w:rsidRPr="007555CB">
        <w:rPr>
          <w:rFonts w:ascii="Bell MT" w:hAnsi="Bell MT"/>
        </w:rPr>
        <w:t>Philosophers from Althusser to Agamben regard the state in totalizing</w:t>
      </w:r>
      <w:r w:rsidR="00B465CC" w:rsidRPr="007555CB">
        <w:rPr>
          <w:rFonts w:ascii="Bell MT" w:hAnsi="Bell MT"/>
        </w:rPr>
        <w:t xml:space="preserve"> terms. For them, s</w:t>
      </w:r>
      <w:r w:rsidR="00566BBE" w:rsidRPr="007555CB">
        <w:rPr>
          <w:rFonts w:ascii="Bell MT" w:hAnsi="Bell MT"/>
        </w:rPr>
        <w:t>overeignty is</w:t>
      </w:r>
      <w:r w:rsidR="00A60C2B" w:rsidRPr="007555CB">
        <w:rPr>
          <w:rFonts w:ascii="Bell MT" w:hAnsi="Bell MT"/>
        </w:rPr>
        <w:t xml:space="preserve"> the exercise of </w:t>
      </w:r>
      <w:r w:rsidR="00AC0312" w:rsidRPr="007555CB">
        <w:rPr>
          <w:rFonts w:ascii="Bell MT" w:hAnsi="Bell MT"/>
        </w:rPr>
        <w:t>state</w:t>
      </w:r>
      <w:r w:rsidR="00A60C2B" w:rsidRPr="007555CB">
        <w:rPr>
          <w:rFonts w:ascii="Bell MT" w:hAnsi="Bell MT"/>
        </w:rPr>
        <w:t xml:space="preserve"> power. </w:t>
      </w:r>
      <w:r w:rsidR="00046527" w:rsidRPr="007555CB">
        <w:rPr>
          <w:rFonts w:ascii="Bell MT" w:hAnsi="Bell MT"/>
        </w:rPr>
        <w:t>It is all-encompassing and nefariously aligned.</w:t>
      </w:r>
      <w:r w:rsidR="00354679" w:rsidRPr="007555CB">
        <w:rPr>
          <w:rFonts w:ascii="Bell MT" w:hAnsi="Bell MT"/>
        </w:rPr>
        <w:t xml:space="preserve"> </w:t>
      </w:r>
      <w:r w:rsidR="00A60C2B" w:rsidRPr="007555CB">
        <w:rPr>
          <w:rFonts w:ascii="Bell MT" w:hAnsi="Bell MT"/>
        </w:rPr>
        <w:t xml:space="preserve">In contrast, Foucault regards sovereignty </w:t>
      </w:r>
      <w:r w:rsidR="00B465CC" w:rsidRPr="007555CB">
        <w:rPr>
          <w:rFonts w:ascii="Bell MT" w:hAnsi="Bell MT"/>
        </w:rPr>
        <w:t>as a particular construct in a broader moral economy –– one which is both a thread in the moral economy’s web and an attempt to master it (</w:t>
      </w:r>
      <w:r w:rsidR="008C591C" w:rsidRPr="007555CB">
        <w:rPr>
          <w:rFonts w:ascii="Bell MT" w:hAnsi="Bell MT"/>
        </w:rPr>
        <w:t>Rabinow &amp; Rose, 2003,</w:t>
      </w:r>
      <w:r w:rsidR="00B465CC" w:rsidRPr="007555CB">
        <w:rPr>
          <w:rFonts w:ascii="Bell MT" w:hAnsi="Bell MT"/>
        </w:rPr>
        <w:t xml:space="preserve"> p. 13).</w:t>
      </w:r>
      <w:r w:rsidR="004E233E" w:rsidRPr="007555CB">
        <w:rPr>
          <w:rFonts w:ascii="Bell MT" w:hAnsi="Bell MT"/>
        </w:rPr>
        <w:t>’</w:t>
      </w:r>
      <w:r w:rsidR="00A60C2B" w:rsidRPr="007555CB">
        <w:rPr>
          <w:rFonts w:ascii="Bell MT" w:hAnsi="Bell MT"/>
        </w:rPr>
        <w:t xml:space="preserve"> </w:t>
      </w:r>
      <w:r w:rsidR="00403525" w:rsidRPr="007555CB">
        <w:rPr>
          <w:rFonts w:ascii="Bell MT" w:hAnsi="Bell MT"/>
        </w:rPr>
        <w:t>Reinhar</w:t>
      </w:r>
      <w:r w:rsidR="00833D50" w:rsidRPr="007555CB">
        <w:rPr>
          <w:rFonts w:ascii="Bell MT" w:hAnsi="Bell MT"/>
        </w:rPr>
        <w:t>t</w:t>
      </w:r>
      <w:r w:rsidR="00407BCA" w:rsidRPr="007555CB">
        <w:rPr>
          <w:rFonts w:ascii="Bell MT" w:hAnsi="Bell MT"/>
        </w:rPr>
        <w:t xml:space="preserve"> Koselleck</w:t>
      </w:r>
      <w:r w:rsidR="00833D50" w:rsidRPr="007555CB">
        <w:rPr>
          <w:rFonts w:ascii="Bell MT" w:hAnsi="Bell MT"/>
        </w:rPr>
        <w:t xml:space="preserve">, Ian Hunter, and Quentin Skinner among others </w:t>
      </w:r>
      <w:r w:rsidR="00A926F5" w:rsidRPr="007555CB">
        <w:rPr>
          <w:rFonts w:ascii="Bell MT" w:hAnsi="Bell MT"/>
        </w:rPr>
        <w:t>identify</w:t>
      </w:r>
      <w:r w:rsidR="00833D50" w:rsidRPr="007555CB">
        <w:rPr>
          <w:rFonts w:ascii="Bell MT" w:hAnsi="Bell MT"/>
        </w:rPr>
        <w:t xml:space="preserve"> the sovereign </w:t>
      </w:r>
      <w:r w:rsidR="00566BBE" w:rsidRPr="007555CB">
        <w:rPr>
          <w:rFonts w:ascii="Bell MT" w:hAnsi="Bell MT"/>
        </w:rPr>
        <w:t xml:space="preserve">as a </w:t>
      </w:r>
      <w:r w:rsidR="004E233E" w:rsidRPr="007555CB">
        <w:rPr>
          <w:rFonts w:ascii="Bell MT" w:hAnsi="Bell MT"/>
        </w:rPr>
        <w:t xml:space="preserve">particular </w:t>
      </w:r>
      <w:r w:rsidR="00354679" w:rsidRPr="007555CB">
        <w:rPr>
          <w:rFonts w:ascii="Bell MT" w:hAnsi="Bell MT"/>
        </w:rPr>
        <w:t>historical development the inheritance of which is the very foundation of public law</w:t>
      </w:r>
      <w:r w:rsidR="00F54D94" w:rsidRPr="007555CB">
        <w:rPr>
          <w:rFonts w:ascii="Bell MT" w:hAnsi="Bell MT"/>
        </w:rPr>
        <w:t xml:space="preserve">. </w:t>
      </w:r>
      <w:r w:rsidR="00566BBE" w:rsidRPr="007555CB">
        <w:rPr>
          <w:rFonts w:ascii="Bell MT" w:hAnsi="Bell MT"/>
        </w:rPr>
        <w:t>For these historians of philosophy, the sovereign is</w:t>
      </w:r>
      <w:r w:rsidR="00833D50" w:rsidRPr="007555CB">
        <w:rPr>
          <w:rFonts w:ascii="Bell MT" w:hAnsi="Bell MT"/>
        </w:rPr>
        <w:t xml:space="preserve"> the neutral body that served as an arbiter between violent religious sects whose competing truth claims led to protracted and devast</w:t>
      </w:r>
      <w:r w:rsidR="00566BBE" w:rsidRPr="007555CB">
        <w:rPr>
          <w:rFonts w:ascii="Bell MT" w:hAnsi="Bell MT"/>
        </w:rPr>
        <w:t>at</w:t>
      </w:r>
      <w:r w:rsidR="00833D50" w:rsidRPr="007555CB">
        <w:rPr>
          <w:rFonts w:ascii="Bell MT" w:hAnsi="Bell MT"/>
        </w:rPr>
        <w:t>ing</w:t>
      </w:r>
      <w:r w:rsidR="00407BCA" w:rsidRPr="007555CB">
        <w:rPr>
          <w:rFonts w:ascii="Bell MT" w:hAnsi="Bell MT"/>
        </w:rPr>
        <w:t xml:space="preserve"> civil war</w:t>
      </w:r>
      <w:r w:rsidR="00833D50" w:rsidRPr="007555CB">
        <w:rPr>
          <w:rFonts w:ascii="Bell MT" w:hAnsi="Bell MT"/>
        </w:rPr>
        <w:t xml:space="preserve"> across Europe for over a century at the dawn of </w:t>
      </w:r>
      <w:r w:rsidR="00A926F5" w:rsidRPr="007555CB">
        <w:rPr>
          <w:rFonts w:ascii="Bell MT" w:hAnsi="Bell MT"/>
        </w:rPr>
        <w:t xml:space="preserve">the </w:t>
      </w:r>
      <w:r w:rsidR="00833D50" w:rsidRPr="007555CB">
        <w:rPr>
          <w:rFonts w:ascii="Bell MT" w:hAnsi="Bell MT"/>
        </w:rPr>
        <w:t>modern era</w:t>
      </w:r>
      <w:r w:rsidR="00407BCA" w:rsidRPr="007555CB">
        <w:rPr>
          <w:rFonts w:ascii="Bell MT" w:hAnsi="Bell MT"/>
        </w:rPr>
        <w:t xml:space="preserve">. </w:t>
      </w:r>
      <w:r w:rsidR="00A926F5" w:rsidRPr="007555CB">
        <w:rPr>
          <w:rFonts w:ascii="Bell MT" w:hAnsi="Bell MT"/>
        </w:rPr>
        <w:t xml:space="preserve">In fact, modernity itself can be defined by the development of sovereignty as a territorially-bound peace-keeping project in the face of </w:t>
      </w:r>
      <w:r w:rsidR="001F63B4" w:rsidRPr="007555CB">
        <w:rPr>
          <w:rFonts w:ascii="Bell MT" w:hAnsi="Bell MT"/>
        </w:rPr>
        <w:t>religious strife</w:t>
      </w:r>
      <w:r w:rsidR="00A926F5" w:rsidRPr="007555CB">
        <w:rPr>
          <w:rFonts w:ascii="Bell MT" w:hAnsi="Bell MT"/>
        </w:rPr>
        <w:t>.</w:t>
      </w:r>
      <w:r w:rsidR="00566BBE" w:rsidRPr="007555CB">
        <w:rPr>
          <w:rFonts w:ascii="Bell MT" w:hAnsi="Bell MT"/>
        </w:rPr>
        <w:t xml:space="preserve"> Thus, sovereignty can be viewed as the structure of power</w:t>
      </w:r>
      <w:r w:rsidR="00C90A06" w:rsidRPr="007555CB">
        <w:rPr>
          <w:rFonts w:ascii="Bell MT" w:hAnsi="Bell MT"/>
        </w:rPr>
        <w:t xml:space="preserve"> –– what Spionza described as </w:t>
      </w:r>
      <w:r w:rsidR="00C90A06" w:rsidRPr="007555CB">
        <w:rPr>
          <w:rFonts w:ascii="Bell MT" w:hAnsi="Bell MT"/>
          <w:i/>
        </w:rPr>
        <w:t>potestas</w:t>
      </w:r>
      <w:r w:rsidR="00563106" w:rsidRPr="007555CB">
        <w:rPr>
          <w:rFonts w:ascii="Bell MT" w:hAnsi="Bell MT"/>
        </w:rPr>
        <w:t>, or the power to act</w:t>
      </w:r>
      <w:r w:rsidR="003F290F" w:rsidRPr="007555CB">
        <w:rPr>
          <w:rFonts w:ascii="Bell MT" w:hAnsi="Bell MT"/>
        </w:rPr>
        <w:t xml:space="preserve"> (Loughlin, </w:t>
      </w:r>
      <w:r w:rsidR="00C609C4" w:rsidRPr="007555CB">
        <w:rPr>
          <w:rFonts w:ascii="Bell MT" w:hAnsi="Bell MT"/>
        </w:rPr>
        <w:t>2010)</w:t>
      </w:r>
      <w:r w:rsidR="00563106" w:rsidRPr="007555CB">
        <w:rPr>
          <w:rFonts w:ascii="Bell MT" w:hAnsi="Bell MT"/>
        </w:rPr>
        <w:t>. This definition of sovereignty as structure i</w:t>
      </w:r>
      <w:r w:rsidR="00C90A06" w:rsidRPr="007555CB">
        <w:rPr>
          <w:rFonts w:ascii="Bell MT" w:hAnsi="Bell MT"/>
        </w:rPr>
        <w:t xml:space="preserve">s in contrast to </w:t>
      </w:r>
      <w:r w:rsidR="00C90A06" w:rsidRPr="007555CB">
        <w:rPr>
          <w:rFonts w:ascii="Bell MT" w:hAnsi="Bell MT"/>
          <w:i/>
        </w:rPr>
        <w:t>potentia</w:t>
      </w:r>
      <w:r w:rsidR="00C90A06" w:rsidRPr="007555CB">
        <w:rPr>
          <w:rFonts w:ascii="Bell MT" w:hAnsi="Bell MT"/>
        </w:rPr>
        <w:t xml:space="preserve">, the exercise of power itself. Michael Mann equates </w:t>
      </w:r>
      <w:r w:rsidR="00C90A06" w:rsidRPr="007555CB">
        <w:rPr>
          <w:rFonts w:ascii="Bell MT" w:hAnsi="Bell MT"/>
          <w:i/>
        </w:rPr>
        <w:t>potentia</w:t>
      </w:r>
      <w:r w:rsidR="00C90A06" w:rsidRPr="007555CB">
        <w:rPr>
          <w:rFonts w:ascii="Bell MT" w:hAnsi="Bell MT"/>
        </w:rPr>
        <w:t xml:space="preserve"> with infrastructural power the definition of which mirrors Foucault’s description of </w:t>
      </w:r>
      <w:r w:rsidR="00C90A06" w:rsidRPr="007555CB">
        <w:rPr>
          <w:rFonts w:ascii="Bell MT" w:hAnsi="Bell MT"/>
          <w:i/>
        </w:rPr>
        <w:t>gouvernmentalité</w:t>
      </w:r>
      <w:r w:rsidR="00F3700B" w:rsidRPr="007555CB">
        <w:rPr>
          <w:rFonts w:ascii="Bell MT" w:hAnsi="Bell MT"/>
          <w:i/>
        </w:rPr>
        <w:t xml:space="preserve"> </w:t>
      </w:r>
      <w:r w:rsidR="00F3700B" w:rsidRPr="007555CB">
        <w:rPr>
          <w:rFonts w:ascii="Bell MT" w:hAnsi="Bell MT"/>
        </w:rPr>
        <w:t>(Mann, 1984)</w:t>
      </w:r>
      <w:r w:rsidR="00C90A06" w:rsidRPr="007555CB">
        <w:rPr>
          <w:rFonts w:ascii="Bell MT" w:hAnsi="Bell MT"/>
        </w:rPr>
        <w:t>.</w:t>
      </w:r>
      <w:r w:rsidR="00A926F5" w:rsidRPr="007555CB">
        <w:rPr>
          <w:rFonts w:ascii="Bell MT" w:hAnsi="Bell MT"/>
        </w:rPr>
        <w:t xml:space="preserve"> </w:t>
      </w:r>
      <w:r w:rsidR="00563106" w:rsidRPr="007555CB">
        <w:rPr>
          <w:rFonts w:ascii="Bell MT" w:hAnsi="Bell MT"/>
        </w:rPr>
        <w:t>One of the aims of this paper is to illustrate that the school</w:t>
      </w:r>
      <w:r w:rsidR="003B6F5E" w:rsidRPr="007555CB">
        <w:rPr>
          <w:rFonts w:ascii="Bell MT" w:hAnsi="Bell MT"/>
        </w:rPr>
        <w:t>,</w:t>
      </w:r>
      <w:r w:rsidR="00563106" w:rsidRPr="007555CB">
        <w:rPr>
          <w:rFonts w:ascii="Bell MT" w:hAnsi="Bell MT"/>
        </w:rPr>
        <w:t xml:space="preserve"> as an extension of infrastructural power</w:t>
      </w:r>
      <w:r w:rsidR="003B6F5E" w:rsidRPr="007555CB">
        <w:rPr>
          <w:rFonts w:ascii="Bell MT" w:hAnsi="Bell MT"/>
        </w:rPr>
        <w:t>, invariably</w:t>
      </w:r>
      <w:r w:rsidR="00563106" w:rsidRPr="007555CB">
        <w:rPr>
          <w:rFonts w:ascii="Bell MT" w:hAnsi="Bell MT"/>
        </w:rPr>
        <w:t xml:space="preserve"> serves sovereign interests, but the sovereign </w:t>
      </w:r>
      <w:r w:rsidR="003B6F5E" w:rsidRPr="007555CB">
        <w:rPr>
          <w:rFonts w:ascii="Bell MT" w:hAnsi="Bell MT"/>
        </w:rPr>
        <w:t>is rarely able to exert total control over its administration as the state depends on existing technologies</w:t>
      </w:r>
      <w:r w:rsidR="004E233E" w:rsidRPr="007555CB">
        <w:rPr>
          <w:rFonts w:ascii="Bell MT" w:hAnsi="Bell MT"/>
        </w:rPr>
        <w:t xml:space="preserve"> at its disposal</w:t>
      </w:r>
      <w:r w:rsidR="003B6F5E" w:rsidRPr="007555CB">
        <w:rPr>
          <w:rFonts w:ascii="Bell MT" w:hAnsi="Bell MT"/>
        </w:rPr>
        <w:t xml:space="preserve">. Even if infrastructural power is generative, its deployment </w:t>
      </w:r>
      <w:r w:rsidR="004E233E" w:rsidRPr="007555CB">
        <w:rPr>
          <w:rFonts w:ascii="Bell MT" w:hAnsi="Bell MT"/>
        </w:rPr>
        <w:t xml:space="preserve">still </w:t>
      </w:r>
      <w:r w:rsidR="003B6F5E" w:rsidRPr="007555CB">
        <w:rPr>
          <w:rFonts w:ascii="Bell MT" w:hAnsi="Bell MT"/>
        </w:rPr>
        <w:t xml:space="preserve">relies on </w:t>
      </w:r>
      <w:r w:rsidR="004E233E" w:rsidRPr="007555CB">
        <w:rPr>
          <w:rFonts w:ascii="Bell MT" w:hAnsi="Bell MT"/>
        </w:rPr>
        <w:t>pre-existing resources</w:t>
      </w:r>
      <w:r w:rsidR="003B6F5E" w:rsidRPr="007555CB">
        <w:rPr>
          <w:rFonts w:ascii="Bell MT" w:hAnsi="Bell MT"/>
        </w:rPr>
        <w:t xml:space="preserve">. To think otherwise is to deny political reality and to dwell in utopian escapism –– something the theorist is frequently apt to do so long as her comportment as theorist is protected. </w:t>
      </w:r>
    </w:p>
    <w:p w14:paraId="0B1881E7" w14:textId="433E0295" w:rsidR="00385A9D" w:rsidRPr="007555CB" w:rsidRDefault="00385A9D" w:rsidP="0098178D">
      <w:pPr>
        <w:spacing w:line="276" w:lineRule="auto"/>
        <w:rPr>
          <w:rFonts w:ascii="Bell MT" w:hAnsi="Bell MT"/>
        </w:rPr>
      </w:pPr>
      <w:r w:rsidRPr="007555CB">
        <w:rPr>
          <w:rFonts w:ascii="Bell MT" w:hAnsi="Bell MT"/>
        </w:rPr>
        <w:tab/>
        <w:t>Critics of education from Gintis and Bowles to Ken Rob</w:t>
      </w:r>
      <w:r w:rsidR="00DB5223" w:rsidRPr="007555CB">
        <w:rPr>
          <w:rFonts w:ascii="Bell MT" w:hAnsi="Bell MT"/>
        </w:rPr>
        <w:t xml:space="preserve">inson deride the school as an industrial behemoth that limits the student’s ability to flourish as a self-determining subject. </w:t>
      </w:r>
      <w:r w:rsidR="005C68E4" w:rsidRPr="007555CB">
        <w:rPr>
          <w:rFonts w:ascii="Bell MT" w:hAnsi="Bell MT"/>
        </w:rPr>
        <w:t xml:space="preserve">In this light, the school is either a capitalist construct that inhibits collective self-realisation or an outdated relic that hinders individual </w:t>
      </w:r>
      <w:r w:rsidR="005C68E4" w:rsidRPr="007555CB">
        <w:rPr>
          <w:rFonts w:ascii="Bell MT" w:hAnsi="Bell MT"/>
          <w:i/>
        </w:rPr>
        <w:t>eudaimonia</w:t>
      </w:r>
      <w:r w:rsidR="005C68E4" w:rsidRPr="007555CB">
        <w:rPr>
          <w:rFonts w:ascii="Bell MT" w:hAnsi="Bell MT"/>
        </w:rPr>
        <w:t>. To Gintis and Bowles, a more principled model of state schooling would elicit the democratic ideals that Marx promised them as a universally shared rational choice. For Robinson, the tectonic school needs a parametric makeover because the hierarchically monolithic technology of the ‘chalk and talk’ era hinders individual development wher</w:t>
      </w:r>
      <w:r w:rsidR="00E85C8E" w:rsidRPr="007555CB">
        <w:rPr>
          <w:rFonts w:ascii="Bell MT" w:hAnsi="Bell MT"/>
        </w:rPr>
        <w:t>eas a more dynamic and lateral</w:t>
      </w:r>
      <w:r w:rsidR="005C68E4" w:rsidRPr="007555CB">
        <w:rPr>
          <w:rFonts w:ascii="Bell MT" w:hAnsi="Bell MT"/>
        </w:rPr>
        <w:t xml:space="preserve">-minded </w:t>
      </w:r>
      <w:r w:rsidR="00E22FF9" w:rsidRPr="007555CB">
        <w:rPr>
          <w:rFonts w:ascii="Bell MT" w:hAnsi="Bell MT"/>
        </w:rPr>
        <w:t>twenty-first-</w:t>
      </w:r>
      <w:r w:rsidR="002B673A" w:rsidRPr="007555CB">
        <w:rPr>
          <w:rFonts w:ascii="Bell MT" w:hAnsi="Bell MT"/>
        </w:rPr>
        <w:t xml:space="preserve">century school will </w:t>
      </w:r>
      <w:r w:rsidR="00046527" w:rsidRPr="007555CB">
        <w:rPr>
          <w:rFonts w:ascii="Bell MT" w:hAnsi="Bell MT"/>
        </w:rPr>
        <w:t xml:space="preserve">surely </w:t>
      </w:r>
      <w:r w:rsidR="002B673A" w:rsidRPr="007555CB">
        <w:rPr>
          <w:rFonts w:ascii="Bell MT" w:hAnsi="Bell MT"/>
        </w:rPr>
        <w:t>unshackle it.</w:t>
      </w:r>
      <w:r w:rsidR="00E85C8E" w:rsidRPr="007555CB">
        <w:rPr>
          <w:rFonts w:ascii="Bell MT" w:hAnsi="Bell MT"/>
        </w:rPr>
        <w:t xml:space="preserve"> Ian Hunter has persuasively shown that both the Marxist and the self-help cheerleader depend on similar resources to realize their vision for a reformed school. What Hunter describes as ‘pastoral bureaucracy’ is necessary in both counts (Hunter, </w:t>
      </w:r>
      <w:r w:rsidR="00CD579B" w:rsidRPr="007555CB">
        <w:rPr>
          <w:rFonts w:ascii="Bell MT" w:hAnsi="Bell MT"/>
        </w:rPr>
        <w:t>1993; Hunter, 1994</w:t>
      </w:r>
      <w:r w:rsidR="00E85C8E" w:rsidRPr="007555CB">
        <w:rPr>
          <w:rFonts w:ascii="Bell MT" w:hAnsi="Bell MT"/>
        </w:rPr>
        <w:t xml:space="preserve">). </w:t>
      </w:r>
      <w:r w:rsidR="00E27C8B" w:rsidRPr="007555CB">
        <w:rPr>
          <w:rFonts w:ascii="Bell MT" w:hAnsi="Bell MT"/>
        </w:rPr>
        <w:t xml:space="preserve">Because not every student arrives on the first day of school with the same outlook, experiences, and capacities, the teacher </w:t>
      </w:r>
      <w:r w:rsidR="003445CF" w:rsidRPr="007555CB">
        <w:rPr>
          <w:rFonts w:ascii="Bell MT" w:hAnsi="Bell MT"/>
        </w:rPr>
        <w:t xml:space="preserve">historically acts as </w:t>
      </w:r>
      <w:r w:rsidR="00E27C8B" w:rsidRPr="007555CB">
        <w:rPr>
          <w:rFonts w:ascii="Bell MT" w:hAnsi="Bell MT"/>
        </w:rPr>
        <w:t>a shepherd in guiding her flock to the ends that Bowles, Gintis, and Robinson envision.</w:t>
      </w:r>
      <w:r w:rsidR="00F143D5" w:rsidRPr="007555CB">
        <w:rPr>
          <w:rFonts w:ascii="Bell MT" w:hAnsi="Bell MT"/>
        </w:rPr>
        <w:t xml:space="preserve"> Even the most optimistic of Marxists must concede that some teenagers will </w:t>
      </w:r>
      <w:r w:rsidR="00254456" w:rsidRPr="007555CB">
        <w:rPr>
          <w:rFonts w:ascii="Bell MT" w:hAnsi="Bell MT"/>
        </w:rPr>
        <w:t xml:space="preserve">“irrationally” choose something that looks very unlike participative self-actualisation –– a reality to which any high school teacher can attest. </w:t>
      </w:r>
      <w:r w:rsidR="004D526A" w:rsidRPr="007555CB">
        <w:rPr>
          <w:rFonts w:ascii="Bell MT" w:hAnsi="Bell MT"/>
        </w:rPr>
        <w:t xml:space="preserve">It would seem that certain theorists are intent on advancing the notion that with the removal of </w:t>
      </w:r>
      <w:r w:rsidR="00577518" w:rsidRPr="007555CB">
        <w:rPr>
          <w:rFonts w:ascii="Bell MT" w:hAnsi="Bell MT"/>
        </w:rPr>
        <w:t>“</w:t>
      </w:r>
      <w:r w:rsidR="004D526A" w:rsidRPr="007555CB">
        <w:rPr>
          <w:rFonts w:ascii="Bell MT" w:hAnsi="Bell MT"/>
        </w:rPr>
        <w:t>certain obstacles</w:t>
      </w:r>
      <w:r w:rsidR="00577518" w:rsidRPr="007555CB">
        <w:rPr>
          <w:rFonts w:ascii="Bell MT" w:hAnsi="Bell MT"/>
        </w:rPr>
        <w:t>”</w:t>
      </w:r>
      <w:r w:rsidR="004D526A" w:rsidRPr="007555CB">
        <w:rPr>
          <w:rFonts w:ascii="Bell MT" w:hAnsi="Bell MT"/>
        </w:rPr>
        <w:t xml:space="preserve"> each student will realize a potential that is steeped in a shared moral comportment –– one that looks suspiciously like the theorist’s. </w:t>
      </w:r>
    </w:p>
    <w:p w14:paraId="006E0F12" w14:textId="215C637C" w:rsidR="00356B6D" w:rsidRPr="007555CB" w:rsidRDefault="00084320" w:rsidP="0098178D">
      <w:pPr>
        <w:spacing w:line="276" w:lineRule="auto"/>
        <w:ind w:firstLine="720"/>
        <w:rPr>
          <w:rFonts w:ascii="Bell MT" w:hAnsi="Bell MT"/>
        </w:rPr>
      </w:pPr>
      <w:r w:rsidRPr="007555CB">
        <w:rPr>
          <w:rFonts w:ascii="Bell MT" w:hAnsi="Bell MT"/>
        </w:rPr>
        <w:t>According to Hunter, ‘the capacity for self-determin</w:t>
      </w:r>
      <w:r w:rsidR="009C187D" w:rsidRPr="007555CB">
        <w:rPr>
          <w:rFonts w:ascii="Bell MT" w:hAnsi="Bell MT"/>
        </w:rPr>
        <w:t>in</w:t>
      </w:r>
      <w:r w:rsidRPr="007555CB">
        <w:rPr>
          <w:rFonts w:ascii="Bell MT" w:hAnsi="Bell MT"/>
        </w:rPr>
        <w:t xml:space="preserve">g ethical conduct emerged from the dissemination of certain ethical institutions and practices, rather than from a timeless moral personality (Hunter, </w:t>
      </w:r>
      <w:r w:rsidR="00CD579B" w:rsidRPr="007555CB">
        <w:rPr>
          <w:rFonts w:ascii="Bell MT" w:hAnsi="Bell MT"/>
        </w:rPr>
        <w:t>1993</w:t>
      </w:r>
      <w:r w:rsidRPr="007555CB">
        <w:rPr>
          <w:rFonts w:ascii="Bell MT" w:hAnsi="Bell MT"/>
        </w:rPr>
        <w:t>, p. 256).</w:t>
      </w:r>
      <w:r w:rsidR="00373D86" w:rsidRPr="007555CB">
        <w:rPr>
          <w:rFonts w:ascii="Bell MT" w:hAnsi="Bell MT"/>
        </w:rPr>
        <w:t xml:space="preserve">’ </w:t>
      </w:r>
      <w:r w:rsidR="00577518" w:rsidRPr="007555CB">
        <w:rPr>
          <w:rFonts w:ascii="Bell MT" w:hAnsi="Bell MT"/>
        </w:rPr>
        <w:t xml:space="preserve">These ethical institutions and practices to which Hunter refers have a tradition with a very particular starting point. </w:t>
      </w:r>
      <w:r w:rsidR="0058064D" w:rsidRPr="007555CB">
        <w:rPr>
          <w:rFonts w:ascii="Bell MT" w:hAnsi="Bell MT"/>
        </w:rPr>
        <w:t xml:space="preserve">Indeed, Hunter identifies the emergence of Protestantism as the most significant ‘system of pastoral discipline aimed at forming the capacity for individual ethical self-regulation (Hunter, </w:t>
      </w:r>
      <w:r w:rsidR="00CD579B" w:rsidRPr="007555CB">
        <w:rPr>
          <w:rFonts w:ascii="Bell MT" w:hAnsi="Bell MT"/>
        </w:rPr>
        <w:t>1993</w:t>
      </w:r>
      <w:r w:rsidR="0058064D" w:rsidRPr="007555CB">
        <w:rPr>
          <w:rFonts w:ascii="Bell MT" w:hAnsi="Bell MT"/>
        </w:rPr>
        <w:t xml:space="preserve">, p. 256).’ Because of Protestantism’s unique ability to assist the state with effective technologies for managing the self, sociologists such as </w:t>
      </w:r>
      <w:r w:rsidR="00563F96" w:rsidRPr="007555CB">
        <w:rPr>
          <w:rFonts w:ascii="Bell MT" w:hAnsi="Bell MT"/>
        </w:rPr>
        <w:t xml:space="preserve">Philip </w:t>
      </w:r>
      <w:r w:rsidR="0058064D" w:rsidRPr="007555CB">
        <w:rPr>
          <w:rFonts w:ascii="Bell MT" w:hAnsi="Bell MT"/>
        </w:rPr>
        <w:t>Gorski identify Protestantism –– in particular Calvinism –– as the driving force behind state formation</w:t>
      </w:r>
      <w:r w:rsidR="00F54D94" w:rsidRPr="007555CB">
        <w:rPr>
          <w:rFonts w:ascii="Bell MT" w:hAnsi="Bell MT"/>
        </w:rPr>
        <w:t xml:space="preserve"> (Gorski, 2003</w:t>
      </w:r>
      <w:r w:rsidR="004F75FB" w:rsidRPr="007555CB">
        <w:rPr>
          <w:rFonts w:ascii="Bell MT" w:hAnsi="Bell MT"/>
        </w:rPr>
        <w:t>)</w:t>
      </w:r>
      <w:r w:rsidR="0058064D" w:rsidRPr="007555CB">
        <w:rPr>
          <w:rFonts w:ascii="Bell MT" w:hAnsi="Bell MT"/>
        </w:rPr>
        <w:t xml:space="preserve">. However, this is a misreading of history. </w:t>
      </w:r>
      <w:r w:rsidR="00FA7205" w:rsidRPr="007555CB">
        <w:rPr>
          <w:rFonts w:ascii="Bell MT" w:hAnsi="Bell MT"/>
        </w:rPr>
        <w:t xml:space="preserve">It is the violence with which Protestants and Catholics defended their truth claims throughout Europe that contributed to the formation of the modern state rather than any particular ideology from one of </w:t>
      </w:r>
      <w:r w:rsidR="004B4C40" w:rsidRPr="007555CB">
        <w:rPr>
          <w:rFonts w:ascii="Bell MT" w:hAnsi="Bell MT"/>
        </w:rPr>
        <w:t>its</w:t>
      </w:r>
      <w:r w:rsidR="00356B6D" w:rsidRPr="007555CB">
        <w:rPr>
          <w:rFonts w:ascii="Bell MT" w:hAnsi="Bell MT"/>
        </w:rPr>
        <w:t xml:space="preserve"> warring sects.</w:t>
      </w:r>
      <w:r w:rsidR="003445CF" w:rsidRPr="007555CB">
        <w:rPr>
          <w:rFonts w:ascii="Bell MT" w:hAnsi="Bell MT"/>
        </w:rPr>
        <w:t xml:space="preserve"> The sovereign leader may have strong religious convictions, but they must be bracketed for the sake of civil order. </w:t>
      </w:r>
    </w:p>
    <w:p w14:paraId="7E5F0AC6" w14:textId="5E89A0F2" w:rsidR="001919E8" w:rsidRPr="007555CB" w:rsidRDefault="0058064D" w:rsidP="0098178D">
      <w:pPr>
        <w:spacing w:line="276" w:lineRule="auto"/>
        <w:ind w:firstLine="720"/>
        <w:rPr>
          <w:rFonts w:ascii="Bell MT" w:hAnsi="Bell MT"/>
        </w:rPr>
      </w:pPr>
      <w:r w:rsidRPr="007555CB">
        <w:rPr>
          <w:rFonts w:ascii="Bell MT" w:hAnsi="Bell MT"/>
        </w:rPr>
        <w:t xml:space="preserve">Calvinism certainly contributed significantly to the administration of the modern state, but it is the </w:t>
      </w:r>
      <w:r w:rsidR="00FA7205" w:rsidRPr="007555CB">
        <w:rPr>
          <w:rFonts w:ascii="Bell MT" w:hAnsi="Bell MT"/>
        </w:rPr>
        <w:t>state’s ability to act neutrally between the competing truth claims of Lutherans, Cathol</w:t>
      </w:r>
      <w:r w:rsidR="004B4C40" w:rsidRPr="007555CB">
        <w:rPr>
          <w:rFonts w:ascii="Bell MT" w:hAnsi="Bell MT"/>
        </w:rPr>
        <w:t>ics, and Calvinists that defined its</w:t>
      </w:r>
      <w:r w:rsidR="00FA7205" w:rsidRPr="007555CB">
        <w:rPr>
          <w:rFonts w:ascii="Bell MT" w:hAnsi="Bell MT"/>
        </w:rPr>
        <w:t xml:space="preserve"> formation in the modern sense. </w:t>
      </w:r>
      <w:r w:rsidR="00E279D0" w:rsidRPr="007555CB">
        <w:rPr>
          <w:rFonts w:ascii="Bell MT" w:hAnsi="Bell MT"/>
        </w:rPr>
        <w:t>In this reading of history, statecraft is the result of legal casuistry rather than the realisation of moral principles.</w:t>
      </w:r>
      <w:r w:rsidR="00E279D0" w:rsidRPr="007555CB">
        <w:rPr>
          <w:rStyle w:val="FootnoteReference"/>
          <w:rFonts w:ascii="Bell MT" w:hAnsi="Bell MT"/>
        </w:rPr>
        <w:footnoteReference w:id="1"/>
      </w:r>
      <w:r w:rsidR="0006514E" w:rsidRPr="007555CB">
        <w:rPr>
          <w:rFonts w:ascii="Bell MT" w:hAnsi="Bell MT"/>
        </w:rPr>
        <w:t xml:space="preserve"> </w:t>
      </w:r>
      <w:r w:rsidR="00FA7205" w:rsidRPr="007555CB">
        <w:rPr>
          <w:rFonts w:ascii="Bell MT" w:hAnsi="Bell MT"/>
        </w:rPr>
        <w:t>Fur</w:t>
      </w:r>
      <w:r w:rsidR="00E279D0" w:rsidRPr="007555CB">
        <w:rPr>
          <w:rFonts w:ascii="Bell MT" w:hAnsi="Bell MT"/>
        </w:rPr>
        <w:t>ther</w:t>
      </w:r>
      <w:r w:rsidR="00FA7205" w:rsidRPr="007555CB">
        <w:rPr>
          <w:rFonts w:ascii="Bell MT" w:hAnsi="Bell MT"/>
        </w:rPr>
        <w:t>more</w:t>
      </w:r>
      <w:r w:rsidR="005D0FDB" w:rsidRPr="007555CB">
        <w:rPr>
          <w:rFonts w:ascii="Bell MT" w:hAnsi="Bell MT"/>
        </w:rPr>
        <w:t xml:space="preserve">, </w:t>
      </w:r>
      <w:r w:rsidR="006A02DB" w:rsidRPr="007555CB">
        <w:rPr>
          <w:rFonts w:ascii="Bell MT" w:hAnsi="Bell MT"/>
        </w:rPr>
        <w:t xml:space="preserve">James </w:t>
      </w:r>
      <w:r w:rsidR="00407BCA" w:rsidRPr="007555CB">
        <w:rPr>
          <w:rFonts w:ascii="Bell MT" w:hAnsi="Bell MT"/>
        </w:rPr>
        <w:t>Van Horn Melton</w:t>
      </w:r>
      <w:r w:rsidR="00FA7205" w:rsidRPr="007555CB">
        <w:rPr>
          <w:rFonts w:ascii="Bell MT" w:hAnsi="Bell MT"/>
        </w:rPr>
        <w:t xml:space="preserve"> has shown </w:t>
      </w:r>
      <w:r w:rsidR="005D0FDB" w:rsidRPr="007555CB">
        <w:rPr>
          <w:rFonts w:ascii="Bell MT" w:hAnsi="Bell MT"/>
        </w:rPr>
        <w:t>that it was Lutheran Pietists employed by the authority of Calvinist administrators in Hohenzollern Prussia that inaugurated the compulsory primary school</w:t>
      </w:r>
      <w:r w:rsidR="006A02DB" w:rsidRPr="007555CB">
        <w:rPr>
          <w:rFonts w:ascii="Bell MT" w:hAnsi="Bell MT"/>
        </w:rPr>
        <w:t xml:space="preserve"> (</w:t>
      </w:r>
      <w:r w:rsidR="00AB059D" w:rsidRPr="007555CB">
        <w:rPr>
          <w:rFonts w:ascii="Bell MT" w:hAnsi="Bell MT"/>
        </w:rPr>
        <w:t>Melton, 1988</w:t>
      </w:r>
      <w:r w:rsidR="006A02DB" w:rsidRPr="007555CB">
        <w:rPr>
          <w:rFonts w:ascii="Bell MT" w:hAnsi="Bell MT"/>
        </w:rPr>
        <w:t>)</w:t>
      </w:r>
      <w:r w:rsidR="00407BCA" w:rsidRPr="007555CB">
        <w:rPr>
          <w:rFonts w:ascii="Bell MT" w:hAnsi="Bell MT"/>
        </w:rPr>
        <w:t>.</w:t>
      </w:r>
      <w:r w:rsidR="005D0FDB" w:rsidRPr="007555CB">
        <w:rPr>
          <w:rFonts w:ascii="Bell MT" w:hAnsi="Bell MT"/>
        </w:rPr>
        <w:t xml:space="preserve"> Early statehood was fragile. The Calvinists depended on Lutherans for the pastoral management of Prussia’s young subjects. Van Horn Melton reminds us that schools are grounded in political negotiation</w:t>
      </w:r>
      <w:r w:rsidR="004B4C40" w:rsidRPr="007555CB">
        <w:rPr>
          <w:rFonts w:ascii="Bell MT" w:hAnsi="Bell MT"/>
        </w:rPr>
        <w:t>s</w:t>
      </w:r>
      <w:r w:rsidR="005D0FDB" w:rsidRPr="007555CB">
        <w:rPr>
          <w:rFonts w:ascii="Bell MT" w:hAnsi="Bell MT"/>
        </w:rPr>
        <w:t xml:space="preserve"> over the maintenance of civil order rather than any particular theory or principle.</w:t>
      </w:r>
      <w:r w:rsidR="00407BCA" w:rsidRPr="007555CB">
        <w:rPr>
          <w:rFonts w:ascii="Bell MT" w:hAnsi="Bell MT"/>
        </w:rPr>
        <w:t xml:space="preserve"> </w:t>
      </w:r>
      <w:r w:rsidR="0006514E" w:rsidRPr="007555CB">
        <w:rPr>
          <w:rFonts w:ascii="Bell MT" w:hAnsi="Bell MT"/>
        </w:rPr>
        <w:t>Individual teache</w:t>
      </w:r>
      <w:r w:rsidR="007F3022" w:rsidRPr="007555CB">
        <w:rPr>
          <w:rFonts w:ascii="Bell MT" w:hAnsi="Bell MT"/>
        </w:rPr>
        <w:t xml:space="preserve">rs may be the holders of very </w:t>
      </w:r>
      <w:r w:rsidR="0006514E" w:rsidRPr="007555CB">
        <w:rPr>
          <w:rFonts w:ascii="Bell MT" w:hAnsi="Bell MT"/>
        </w:rPr>
        <w:t xml:space="preserve">strong moral convictions </w:t>
      </w:r>
      <w:r w:rsidR="007F3022" w:rsidRPr="007555CB">
        <w:rPr>
          <w:rFonts w:ascii="Bell MT" w:hAnsi="Bell MT"/>
        </w:rPr>
        <w:t>that</w:t>
      </w:r>
      <w:r w:rsidR="0006514E" w:rsidRPr="007555CB">
        <w:rPr>
          <w:rFonts w:ascii="Bell MT" w:hAnsi="Bell MT"/>
        </w:rPr>
        <w:t xml:space="preserve"> they instill in their students, but this should be viewed more as a particular technology in shepherdin</w:t>
      </w:r>
      <w:r w:rsidR="003F7640" w:rsidRPr="007555CB">
        <w:rPr>
          <w:rFonts w:ascii="Bell MT" w:hAnsi="Bell MT"/>
        </w:rPr>
        <w:t>g the student flock from one end of school to the other rather th</w:t>
      </w:r>
      <w:r w:rsidR="007F3022" w:rsidRPr="007555CB">
        <w:rPr>
          <w:rFonts w:ascii="Bell MT" w:hAnsi="Bell MT"/>
        </w:rPr>
        <w:t>an a program</w:t>
      </w:r>
      <w:r w:rsidR="00563F96" w:rsidRPr="007555CB">
        <w:rPr>
          <w:rFonts w:ascii="Bell MT" w:hAnsi="Bell MT"/>
        </w:rPr>
        <w:t>me</w:t>
      </w:r>
      <w:r w:rsidR="007F3022" w:rsidRPr="007555CB">
        <w:rPr>
          <w:rFonts w:ascii="Bell MT" w:hAnsi="Bell MT"/>
        </w:rPr>
        <w:t xml:space="preserve"> of </w:t>
      </w:r>
      <w:r w:rsidR="003F7640" w:rsidRPr="007555CB">
        <w:rPr>
          <w:rFonts w:ascii="Bell MT" w:hAnsi="Bell MT"/>
        </w:rPr>
        <w:t>indoctrination</w:t>
      </w:r>
      <w:r w:rsidR="00563F96" w:rsidRPr="007555CB">
        <w:rPr>
          <w:rFonts w:ascii="Bell MT" w:hAnsi="Bell MT"/>
        </w:rPr>
        <w:t xml:space="preserve"> however intrusive the moral assertions of the teacher-shepherd</w:t>
      </w:r>
      <w:r w:rsidR="003F7640" w:rsidRPr="007555CB">
        <w:rPr>
          <w:rFonts w:ascii="Bell MT" w:hAnsi="Bell MT"/>
        </w:rPr>
        <w:t xml:space="preserve">. </w:t>
      </w:r>
    </w:p>
    <w:p w14:paraId="4DEB4121" w14:textId="38759D9D" w:rsidR="00356B6D" w:rsidRPr="007555CB" w:rsidRDefault="004B4C40" w:rsidP="0098178D">
      <w:pPr>
        <w:spacing w:line="276" w:lineRule="auto"/>
        <w:ind w:firstLine="720"/>
        <w:rPr>
          <w:rFonts w:ascii="Bell MT" w:hAnsi="Bell MT"/>
        </w:rPr>
      </w:pPr>
      <w:r w:rsidRPr="007555CB">
        <w:rPr>
          <w:rFonts w:ascii="Bell MT" w:hAnsi="Bell MT"/>
        </w:rPr>
        <w:t xml:space="preserve">Melton’s historical lesson </w:t>
      </w:r>
      <w:r w:rsidR="002E57E1" w:rsidRPr="007555CB">
        <w:rPr>
          <w:rFonts w:ascii="Bell MT" w:hAnsi="Bell MT"/>
        </w:rPr>
        <w:t xml:space="preserve">frequently falls on the theorist’s deaf ears. For example, Amy Gutmann asserts that the interests of disadvantaged minorities are historically protected by democratic bodies (Gutmann, </w:t>
      </w:r>
      <w:r w:rsidR="006A02DB" w:rsidRPr="007555CB">
        <w:rPr>
          <w:rFonts w:ascii="Bell MT" w:hAnsi="Bell MT"/>
        </w:rPr>
        <w:t xml:space="preserve">1987; </w:t>
      </w:r>
      <w:r w:rsidR="002E57E1" w:rsidRPr="007555CB">
        <w:rPr>
          <w:rFonts w:ascii="Bell MT" w:hAnsi="Bell MT"/>
        </w:rPr>
        <w:t xml:space="preserve">Hunter, </w:t>
      </w:r>
      <w:r w:rsidR="005E15AB" w:rsidRPr="007555CB">
        <w:rPr>
          <w:rFonts w:ascii="Bell MT" w:hAnsi="Bell MT"/>
        </w:rPr>
        <w:t xml:space="preserve">1993, </w:t>
      </w:r>
      <w:r w:rsidR="002E57E1" w:rsidRPr="007555CB">
        <w:rPr>
          <w:rFonts w:ascii="Bell MT" w:hAnsi="Bell MT"/>
        </w:rPr>
        <w:t>p. 258). There are several reasons to disagree with her. Firstly, Gutm</w:t>
      </w:r>
      <w:r w:rsidR="00356B6D" w:rsidRPr="007555CB">
        <w:rPr>
          <w:rFonts w:ascii="Bell MT" w:hAnsi="Bell MT"/>
        </w:rPr>
        <w:t>ann assumes that education is universally a priority for</w:t>
      </w:r>
      <w:r w:rsidR="002E57E1" w:rsidRPr="007555CB">
        <w:rPr>
          <w:rFonts w:ascii="Bell MT" w:hAnsi="Bell MT"/>
        </w:rPr>
        <w:t xml:space="preserve"> disadvantaged minorities. This has not </w:t>
      </w:r>
      <w:r w:rsidR="007F3022" w:rsidRPr="007555CB">
        <w:rPr>
          <w:rFonts w:ascii="Bell MT" w:hAnsi="Bell MT"/>
        </w:rPr>
        <w:t>a claim one can make un</w:t>
      </w:r>
      <w:r w:rsidR="005310BA" w:rsidRPr="007555CB">
        <w:rPr>
          <w:rFonts w:ascii="Bell MT" w:hAnsi="Bell MT"/>
        </w:rPr>
        <w:t>conditionally</w:t>
      </w:r>
      <w:r w:rsidR="007F3022" w:rsidRPr="007555CB">
        <w:rPr>
          <w:rFonts w:ascii="Bell MT" w:hAnsi="Bell MT"/>
        </w:rPr>
        <w:t>. It may be true that a majority of ex-slaves in reconstruction America wanted access to education, but towards what end and by whose delivery? Universal claims at the expense of context are mere ‘thought games’ and ignore the historical reality that the only education available to a black southerner in mid-nineteenth century America was actually quite undesirable to many</w:t>
      </w:r>
      <w:r w:rsidR="006A02DB" w:rsidRPr="007555CB">
        <w:rPr>
          <w:rFonts w:ascii="Bell MT" w:hAnsi="Bell MT"/>
        </w:rPr>
        <w:t xml:space="preserve"> (Anderson, 1988)</w:t>
      </w:r>
      <w:r w:rsidR="007F3022" w:rsidRPr="007555CB">
        <w:rPr>
          <w:rFonts w:ascii="Bell MT" w:hAnsi="Bell MT"/>
        </w:rPr>
        <w:t>. D</w:t>
      </w:r>
      <w:r w:rsidR="002E57E1" w:rsidRPr="007555CB">
        <w:rPr>
          <w:rFonts w:ascii="Bell MT" w:hAnsi="Bell MT"/>
        </w:rPr>
        <w:t>isadvantaged minorities have historically gained access to education not by democratic means but as a political concession by state authorities who offer a dec</w:t>
      </w:r>
      <w:r w:rsidR="0018448B" w:rsidRPr="007555CB">
        <w:rPr>
          <w:rFonts w:ascii="Bell MT" w:hAnsi="Bell MT"/>
        </w:rPr>
        <w:t>isively nondemocratic education. More commonly</w:t>
      </w:r>
      <w:r w:rsidR="009627F8" w:rsidRPr="007555CB">
        <w:rPr>
          <w:rFonts w:ascii="Bell MT" w:hAnsi="Bell MT"/>
        </w:rPr>
        <w:t>,</w:t>
      </w:r>
      <w:r w:rsidR="0018448B" w:rsidRPr="007555CB">
        <w:rPr>
          <w:rFonts w:ascii="Bell MT" w:hAnsi="Bell MT"/>
        </w:rPr>
        <w:t xml:space="preserve"> disadvantaged </w:t>
      </w:r>
      <w:r w:rsidR="00356B6D" w:rsidRPr="007555CB">
        <w:rPr>
          <w:rFonts w:ascii="Bell MT" w:hAnsi="Bell MT"/>
        </w:rPr>
        <w:t>groups</w:t>
      </w:r>
      <w:r w:rsidR="0018448B" w:rsidRPr="007555CB">
        <w:rPr>
          <w:rFonts w:ascii="Bell MT" w:hAnsi="Bell MT"/>
        </w:rPr>
        <w:t xml:space="preserve"> have had state education thrusted upon them as was the case in seventeenth century Prussia. Gutmann assumes that the school ought to realize fundamental principles as a condition of the rational moral comportment of every living subject. It eludes her that such a moral </w:t>
      </w:r>
      <w:r w:rsidR="00E213C7" w:rsidRPr="007555CB">
        <w:rPr>
          <w:rFonts w:ascii="Bell MT" w:hAnsi="Bell MT"/>
        </w:rPr>
        <w:t>outlook may be the particular view of university academics such as herself. Because there is no guarantee that disadvantaged minorities would democratically decide to conduct their education in a manner that Amy Gutmann deems morally worthy, theorists such as herself must concede that predominantly racist or sexist communities would benefit from some nondemocratic authority when building a moral curriculum in harmony with the theorist’s –– something the pastoral bureaucracy of the actual, historical school is well-equipped to manage</w:t>
      </w:r>
      <w:r w:rsidR="00246A60" w:rsidRPr="007555CB">
        <w:rPr>
          <w:rFonts w:ascii="Bell MT" w:hAnsi="Bell MT"/>
        </w:rPr>
        <w:t xml:space="preserve"> (Hunter, 1993)</w:t>
      </w:r>
      <w:r w:rsidR="00E213C7" w:rsidRPr="007555CB">
        <w:rPr>
          <w:rFonts w:ascii="Bell MT" w:hAnsi="Bell MT"/>
        </w:rPr>
        <w:t xml:space="preserve">. However, the pastoral bureaucracy rarely consults the theorist in matters of moral concern. The school employs those with strong moral outlooks to shepherd flocks of students from kindergarten through high school, but avoids basing its programme on </w:t>
      </w:r>
      <w:r w:rsidR="009627F8" w:rsidRPr="007555CB">
        <w:rPr>
          <w:rFonts w:ascii="Bell MT" w:hAnsi="Bell MT"/>
        </w:rPr>
        <w:t xml:space="preserve">well-defined theoretical principles. Rather, its programme is defined by an ability to manage and organize state subjects towards </w:t>
      </w:r>
      <w:r w:rsidR="00257110" w:rsidRPr="007555CB">
        <w:rPr>
          <w:rFonts w:ascii="Bell MT" w:hAnsi="Bell MT"/>
        </w:rPr>
        <w:t>the maintenance of civil order –– a goal only the anarchist hopes to abandon.</w:t>
      </w:r>
    </w:p>
    <w:p w14:paraId="212E29BA" w14:textId="54797380" w:rsidR="004B4C40" w:rsidRPr="007555CB" w:rsidRDefault="009627F8" w:rsidP="0098178D">
      <w:pPr>
        <w:spacing w:line="276" w:lineRule="auto"/>
        <w:ind w:firstLine="720"/>
        <w:rPr>
          <w:rFonts w:ascii="Bell MT" w:hAnsi="Bell MT"/>
        </w:rPr>
      </w:pPr>
      <w:r w:rsidRPr="007555CB">
        <w:rPr>
          <w:rFonts w:ascii="Bell MT" w:hAnsi="Bell MT"/>
        </w:rPr>
        <w:t>Theorists such as Henry Giroux regard neoliberalism’s appropriation of these technologies as a violation of universal principles.</w:t>
      </w:r>
      <w:r w:rsidR="00513474" w:rsidRPr="007555CB">
        <w:rPr>
          <w:rFonts w:ascii="Bell MT" w:hAnsi="Bell MT"/>
        </w:rPr>
        <w:t xml:space="preserve"> </w:t>
      </w:r>
      <w:r w:rsidR="00356B6D" w:rsidRPr="007555CB">
        <w:rPr>
          <w:rFonts w:ascii="Bell MT" w:hAnsi="Bell MT"/>
        </w:rPr>
        <w:t xml:space="preserve">Before entertaining Giroux’s critique it is necessary to scrutinize the appeal to universal ideals such as human rights. Richard </w:t>
      </w:r>
      <w:r w:rsidR="00CE316F" w:rsidRPr="007555CB">
        <w:rPr>
          <w:rFonts w:ascii="Bell MT" w:hAnsi="Bell MT"/>
        </w:rPr>
        <w:t xml:space="preserve">Rorty, as contentious as figure as he is, has offered very persuasive arguments against the notion that ‘political authority should be grounded in particular moral identities (Hunter, </w:t>
      </w:r>
      <w:r w:rsidR="00815242" w:rsidRPr="007555CB">
        <w:rPr>
          <w:rFonts w:ascii="Bell MT" w:hAnsi="Bell MT"/>
        </w:rPr>
        <w:t>2000,</w:t>
      </w:r>
      <w:r w:rsidR="00CE316F" w:rsidRPr="007555CB">
        <w:rPr>
          <w:rFonts w:ascii="Bell MT" w:hAnsi="Bell MT"/>
        </w:rPr>
        <w:t xml:space="preserve"> p. 59).’ What I hope to show is that this is true of education as well. </w:t>
      </w:r>
      <w:r w:rsidR="002C589C" w:rsidRPr="007555CB">
        <w:rPr>
          <w:rFonts w:ascii="Bell MT" w:hAnsi="Bell MT"/>
        </w:rPr>
        <w:t>Rorty contends that any advancement of human rights must be based on group solidarity</w:t>
      </w:r>
      <w:r w:rsidR="00160EF1" w:rsidRPr="007555CB">
        <w:rPr>
          <w:rFonts w:ascii="Bell MT" w:hAnsi="Bell MT"/>
        </w:rPr>
        <w:t>. Such a position i</w:t>
      </w:r>
      <w:r w:rsidR="002C589C" w:rsidRPr="007555CB">
        <w:rPr>
          <w:rFonts w:ascii="Bell MT" w:hAnsi="Bell MT"/>
        </w:rPr>
        <w:t>s an expression of the</w:t>
      </w:r>
      <w:r w:rsidR="00160EF1" w:rsidRPr="007555CB">
        <w:rPr>
          <w:rFonts w:ascii="Bell MT" w:hAnsi="Bell MT"/>
        </w:rPr>
        <w:t xml:space="preserve"> liberal tradition</w:t>
      </w:r>
      <w:r w:rsidR="00AF7AA5" w:rsidRPr="007555CB">
        <w:rPr>
          <w:rFonts w:ascii="Bell MT" w:hAnsi="Bell MT"/>
        </w:rPr>
        <w:t xml:space="preserve"> –– that is, a human rights culture ––</w:t>
      </w:r>
      <w:r w:rsidR="00160EF1" w:rsidRPr="007555CB">
        <w:rPr>
          <w:rFonts w:ascii="Bell MT" w:hAnsi="Bell MT"/>
        </w:rPr>
        <w:t xml:space="preserve"> rather than a</w:t>
      </w:r>
      <w:r w:rsidR="002C589C" w:rsidRPr="007555CB">
        <w:rPr>
          <w:rFonts w:ascii="Bell MT" w:hAnsi="Bell MT"/>
        </w:rPr>
        <w:t xml:space="preserve"> fundam</w:t>
      </w:r>
      <w:r w:rsidR="00160EF1" w:rsidRPr="007555CB">
        <w:rPr>
          <w:rFonts w:ascii="Bell MT" w:hAnsi="Bell MT"/>
        </w:rPr>
        <w:t xml:space="preserve">entally shared human condition (Rorty, </w:t>
      </w:r>
      <w:r w:rsidR="00815242" w:rsidRPr="007555CB">
        <w:rPr>
          <w:rFonts w:ascii="Bell MT" w:hAnsi="Bell MT"/>
        </w:rPr>
        <w:t>1993</w:t>
      </w:r>
      <w:r w:rsidR="00160EF1" w:rsidRPr="007555CB">
        <w:rPr>
          <w:rFonts w:ascii="Bell MT" w:hAnsi="Bell MT"/>
        </w:rPr>
        <w:t>). To Rorty, it is misguided to seek any metaphysical principle on which to defend human rights because their violation divides groups into human and monster –– categories that human rights advocates seek to abolish. Rather, Rorty is concerned with protecting human difference and influencing those who would be categorized as monsters to be more humane by m</w:t>
      </w:r>
      <w:r w:rsidR="001C2C5E" w:rsidRPr="007555CB">
        <w:rPr>
          <w:rFonts w:ascii="Bell MT" w:hAnsi="Bell MT"/>
        </w:rPr>
        <w:t xml:space="preserve">eans of a sentimental education (Rorty, </w:t>
      </w:r>
      <w:r w:rsidR="00815242" w:rsidRPr="007555CB">
        <w:rPr>
          <w:rFonts w:ascii="Bell MT" w:hAnsi="Bell MT"/>
        </w:rPr>
        <w:t>1993</w:t>
      </w:r>
      <w:r w:rsidR="001C2C5E" w:rsidRPr="007555CB">
        <w:rPr>
          <w:rFonts w:ascii="Bell MT" w:hAnsi="Bell MT"/>
        </w:rPr>
        <w:t>).</w:t>
      </w:r>
      <w:r w:rsidR="00160EF1" w:rsidRPr="007555CB">
        <w:rPr>
          <w:rFonts w:ascii="Bell MT" w:hAnsi="Bell MT"/>
        </w:rPr>
        <w:t xml:space="preserve"> </w:t>
      </w:r>
      <w:r w:rsidR="00AF7AA5" w:rsidRPr="007555CB">
        <w:rPr>
          <w:rFonts w:ascii="Bell MT" w:hAnsi="Bell MT"/>
        </w:rPr>
        <w:t xml:space="preserve">Again, Ian Hunter’s civil philosophy is useful in analyzing Rorty’s attack on moral high-mindedness for it reveals not only the strength of Rorty’s position, but it’s ultimate short-comings as well. </w:t>
      </w:r>
      <w:r w:rsidR="00C73922" w:rsidRPr="007555CB">
        <w:rPr>
          <w:rFonts w:ascii="Bell MT" w:hAnsi="Bell MT"/>
        </w:rPr>
        <w:t xml:space="preserve">His mistake, according to Ian Hunter, is to assume that the protection of </w:t>
      </w:r>
      <w:r w:rsidR="007461CF" w:rsidRPr="007555CB">
        <w:rPr>
          <w:rFonts w:ascii="Bell MT" w:hAnsi="Bell MT"/>
        </w:rPr>
        <w:t>human difference, or toleration, is contingent on the adoption of liberal</w:t>
      </w:r>
      <w:r w:rsidR="004B7F53" w:rsidRPr="007555CB">
        <w:rPr>
          <w:rFonts w:ascii="Bell MT" w:hAnsi="Bell MT"/>
        </w:rPr>
        <w:t xml:space="preserve"> democracy as its precondition (Hunter, 2000; Rorty, 1991). </w:t>
      </w:r>
      <w:r w:rsidR="005310BA" w:rsidRPr="007555CB">
        <w:rPr>
          <w:rFonts w:ascii="Bell MT" w:hAnsi="Bell MT"/>
        </w:rPr>
        <w:t xml:space="preserve">History has shown that it is not liberal democracy alone that breeds tolerance. It is the establishment of a neutral sovereign body –– one that is historically non-democratic –– that has been successful in maintaining mostly tolerant civil order. Liberal democracy emerged from this tradition –– not the other way around. </w:t>
      </w:r>
    </w:p>
    <w:p w14:paraId="25BDD7B0" w14:textId="69650818" w:rsidR="00AF7AA5" w:rsidRPr="007555CB" w:rsidRDefault="007F3193" w:rsidP="0098178D">
      <w:pPr>
        <w:spacing w:line="276" w:lineRule="auto"/>
        <w:ind w:firstLine="720"/>
        <w:rPr>
          <w:rFonts w:ascii="Bell MT" w:hAnsi="Bell MT"/>
        </w:rPr>
      </w:pPr>
      <w:r w:rsidRPr="007555CB">
        <w:rPr>
          <w:rFonts w:ascii="Bell MT" w:hAnsi="Bell MT"/>
        </w:rPr>
        <w:t>Recent discourse on cosmopolitanism and education echoes Rorty’s stance</w:t>
      </w:r>
      <w:r w:rsidR="00AF7AA5" w:rsidRPr="007555CB">
        <w:rPr>
          <w:rFonts w:ascii="Bell MT" w:hAnsi="Bell MT"/>
        </w:rPr>
        <w:t xml:space="preserve">. </w:t>
      </w:r>
      <w:r w:rsidR="00C575F9" w:rsidRPr="007555CB">
        <w:rPr>
          <w:rFonts w:ascii="Bell MT" w:hAnsi="Bell MT"/>
        </w:rPr>
        <w:t>It</w:t>
      </w:r>
      <w:r w:rsidRPr="007555CB">
        <w:rPr>
          <w:rFonts w:ascii="Bell MT" w:hAnsi="Bell MT"/>
        </w:rPr>
        <w:t xml:space="preserve"> would appear that one must</w:t>
      </w:r>
      <w:r w:rsidR="00AF7AA5" w:rsidRPr="007555CB">
        <w:rPr>
          <w:rFonts w:ascii="Bell MT" w:hAnsi="Bell MT"/>
        </w:rPr>
        <w:t xml:space="preserve"> live in a liberal democracy </w:t>
      </w:r>
      <w:r w:rsidRPr="007555CB">
        <w:rPr>
          <w:rFonts w:ascii="Bell MT" w:hAnsi="Bell MT"/>
        </w:rPr>
        <w:t xml:space="preserve">in order </w:t>
      </w:r>
      <w:r w:rsidR="00AF7AA5" w:rsidRPr="007555CB">
        <w:rPr>
          <w:rFonts w:ascii="Bell MT" w:hAnsi="Bell MT"/>
        </w:rPr>
        <w:t xml:space="preserve">to </w:t>
      </w:r>
      <w:r w:rsidRPr="007555CB">
        <w:rPr>
          <w:rFonts w:ascii="Bell MT" w:hAnsi="Bell MT"/>
        </w:rPr>
        <w:t>qualify as</w:t>
      </w:r>
      <w:r w:rsidR="00AF7AA5" w:rsidRPr="007555CB">
        <w:rPr>
          <w:rFonts w:ascii="Bell MT" w:hAnsi="Bell MT"/>
        </w:rPr>
        <w:t xml:space="preserve"> a cosmopolitan citizen</w:t>
      </w:r>
      <w:r w:rsidR="00C575F9" w:rsidRPr="007555CB">
        <w:rPr>
          <w:rFonts w:ascii="Bell MT" w:hAnsi="Bell MT"/>
        </w:rPr>
        <w:t xml:space="preserve"> (McDonough, 2003)</w:t>
      </w:r>
      <w:r w:rsidR="00AF7AA5" w:rsidRPr="007555CB">
        <w:rPr>
          <w:rFonts w:ascii="Bell MT" w:hAnsi="Bell MT"/>
        </w:rPr>
        <w:t xml:space="preserve">. </w:t>
      </w:r>
      <w:r w:rsidR="002B7C1B" w:rsidRPr="007555CB">
        <w:rPr>
          <w:rFonts w:ascii="Bell MT" w:hAnsi="Bell MT"/>
        </w:rPr>
        <w:t xml:space="preserve">But tolerance is not only seen as a programme exclusive to postmodern liberalism, it is also evoked as a universal moral principle. </w:t>
      </w:r>
      <w:r w:rsidR="00AF7AA5" w:rsidRPr="007555CB">
        <w:rPr>
          <w:rFonts w:ascii="Bell MT" w:hAnsi="Bell MT"/>
        </w:rPr>
        <w:t>Economist Jeremy Rifk</w:t>
      </w:r>
      <w:r w:rsidRPr="007555CB">
        <w:rPr>
          <w:rFonts w:ascii="Bell MT" w:hAnsi="Bell MT"/>
        </w:rPr>
        <w:t>in seeks genetic proof of human</w:t>
      </w:r>
      <w:r w:rsidR="00623812" w:rsidRPr="007555CB">
        <w:rPr>
          <w:rFonts w:ascii="Bell MT" w:hAnsi="Bell MT"/>
        </w:rPr>
        <w:t xml:space="preserve"> tolerance as hallmark of civilization</w:t>
      </w:r>
      <w:r w:rsidR="005310BA" w:rsidRPr="007555CB">
        <w:rPr>
          <w:rFonts w:ascii="Bell MT" w:hAnsi="Bell MT"/>
        </w:rPr>
        <w:t xml:space="preserve"> (Rifkin</w:t>
      </w:r>
      <w:r w:rsidR="00D6723B" w:rsidRPr="007555CB">
        <w:rPr>
          <w:rFonts w:ascii="Bell MT" w:hAnsi="Bell MT"/>
        </w:rPr>
        <w:t>, 2009</w:t>
      </w:r>
      <w:r w:rsidR="005310BA" w:rsidRPr="007555CB">
        <w:rPr>
          <w:rFonts w:ascii="Bell MT" w:hAnsi="Bell MT"/>
        </w:rPr>
        <w:t>)</w:t>
      </w:r>
      <w:r w:rsidR="009C7905" w:rsidRPr="007555CB">
        <w:rPr>
          <w:rFonts w:ascii="Bell MT" w:hAnsi="Bell MT"/>
        </w:rPr>
        <w:t xml:space="preserve">. </w:t>
      </w:r>
      <w:r w:rsidR="00623812" w:rsidRPr="007555CB">
        <w:rPr>
          <w:rFonts w:ascii="Bell MT" w:hAnsi="Bell MT"/>
        </w:rPr>
        <w:t xml:space="preserve">To Rifkin, empathy is hard-wired in our DNA. </w:t>
      </w:r>
      <w:r w:rsidR="009C7905" w:rsidRPr="007555CB">
        <w:rPr>
          <w:rFonts w:ascii="Bell MT" w:hAnsi="Bell MT"/>
        </w:rPr>
        <w:t xml:space="preserve">Even if </w:t>
      </w:r>
      <w:r w:rsidR="00623812" w:rsidRPr="007555CB">
        <w:rPr>
          <w:rFonts w:ascii="Bell MT" w:hAnsi="Bell MT"/>
        </w:rPr>
        <w:t xml:space="preserve">his </w:t>
      </w:r>
      <w:r w:rsidR="009C7905" w:rsidRPr="007555CB">
        <w:rPr>
          <w:rFonts w:ascii="Bell MT" w:hAnsi="Bell MT"/>
        </w:rPr>
        <w:t xml:space="preserve">assertion is correct that we all share an empathic gene, we certainly don’t universally apply it. Its development can only materialize in conduct, which is undoubtedly the domain of pastoral </w:t>
      </w:r>
      <w:r w:rsidRPr="007555CB">
        <w:rPr>
          <w:rFonts w:ascii="Bell MT" w:hAnsi="Bell MT"/>
        </w:rPr>
        <w:t xml:space="preserve">pedagogy. Whether it be through </w:t>
      </w:r>
      <w:r w:rsidR="0065065A" w:rsidRPr="007555CB">
        <w:rPr>
          <w:rFonts w:ascii="Bell MT" w:hAnsi="Bell MT"/>
        </w:rPr>
        <w:t>organisations such as Facing History and Ourselves who seek to impart in students the complexity of our ‘universe of o</w:t>
      </w:r>
      <w:r w:rsidRPr="007555CB">
        <w:rPr>
          <w:rFonts w:ascii="Bell MT" w:hAnsi="Bell MT"/>
        </w:rPr>
        <w:t>bligation</w:t>
      </w:r>
      <w:r w:rsidR="0065065A" w:rsidRPr="007555CB">
        <w:rPr>
          <w:rFonts w:ascii="Bell MT" w:hAnsi="Bell MT"/>
        </w:rPr>
        <w:t>’</w:t>
      </w:r>
      <w:r w:rsidRPr="007555CB">
        <w:rPr>
          <w:rFonts w:ascii="Bell MT" w:hAnsi="Bell MT"/>
        </w:rPr>
        <w:t xml:space="preserve"> or some other culturally sensitive curriculum, schools do not assume that the capacity for empathy reveals itself to students as a rational epiphany: it is taught.</w:t>
      </w:r>
      <w:r w:rsidR="004A136C" w:rsidRPr="007555CB">
        <w:rPr>
          <w:rStyle w:val="FootnoteReference"/>
          <w:rFonts w:ascii="Bell MT" w:hAnsi="Bell MT"/>
        </w:rPr>
        <w:footnoteReference w:id="2"/>
      </w:r>
      <w:r w:rsidRPr="007555CB">
        <w:rPr>
          <w:rFonts w:ascii="Bell MT" w:hAnsi="Bell MT"/>
        </w:rPr>
        <w:t xml:space="preserve"> </w:t>
      </w:r>
    </w:p>
    <w:p w14:paraId="3D345639" w14:textId="56C808E7" w:rsidR="00985D08" w:rsidRPr="007555CB" w:rsidRDefault="00623812" w:rsidP="0098178D">
      <w:pPr>
        <w:spacing w:line="276" w:lineRule="auto"/>
        <w:ind w:firstLine="720"/>
        <w:rPr>
          <w:rFonts w:ascii="Bell MT" w:hAnsi="Bell MT"/>
        </w:rPr>
      </w:pPr>
      <w:r w:rsidRPr="007555CB">
        <w:rPr>
          <w:rFonts w:ascii="Bell MT" w:hAnsi="Bell MT"/>
        </w:rPr>
        <w:t xml:space="preserve">Rather than regard tolerance as a universal principle in a shared moral personality, it would be useful to explore its origin as a form of conduct necessary for the maintenance of civil order. This conduct has historically been the concern of pedagogy more than it has genetic science. </w:t>
      </w:r>
      <w:r w:rsidR="00517F37" w:rsidRPr="007555CB">
        <w:rPr>
          <w:rFonts w:ascii="Bell MT" w:hAnsi="Bell MT"/>
        </w:rPr>
        <w:t xml:space="preserve">James </w:t>
      </w:r>
      <w:r w:rsidR="00407BCA" w:rsidRPr="007555CB">
        <w:rPr>
          <w:rFonts w:ascii="Bell MT" w:hAnsi="Bell MT"/>
        </w:rPr>
        <w:t xml:space="preserve">Tully </w:t>
      </w:r>
      <w:r w:rsidR="00561BA9" w:rsidRPr="007555CB">
        <w:rPr>
          <w:rFonts w:ascii="Bell MT" w:hAnsi="Bell MT"/>
        </w:rPr>
        <w:t>has outlined four problems of governability in the early modern period</w:t>
      </w:r>
      <w:r w:rsidR="00517F37" w:rsidRPr="007555CB">
        <w:rPr>
          <w:rFonts w:ascii="Bell MT" w:hAnsi="Bell MT"/>
        </w:rPr>
        <w:t>:</w:t>
      </w:r>
      <w:r w:rsidR="00561BA9" w:rsidRPr="007555CB">
        <w:rPr>
          <w:rFonts w:ascii="Bell MT" w:hAnsi="Bell MT"/>
        </w:rPr>
        <w:t xml:space="preserve"> ‘The first three problems were how to govern the laboring classes; what form of rule would end the civil and religious wars that swept Europe for 100 years and claimed 30 per cent of the population; and how to administer global relations of commercial exploitation, colonization, and military power. The fourth problem provided the means to organize the other three into an overall political strategy (Tully, </w:t>
      </w:r>
      <w:r w:rsidR="00815242" w:rsidRPr="007555CB">
        <w:rPr>
          <w:rFonts w:ascii="Bell MT" w:hAnsi="Bell MT"/>
        </w:rPr>
        <w:t xml:space="preserve">1993, </w:t>
      </w:r>
      <w:r w:rsidR="00561BA9" w:rsidRPr="007555CB">
        <w:rPr>
          <w:rFonts w:ascii="Bell MT" w:hAnsi="Bell MT"/>
        </w:rPr>
        <w:t>p. 14).’</w:t>
      </w:r>
      <w:r w:rsidR="00517F37" w:rsidRPr="007555CB">
        <w:rPr>
          <w:rFonts w:ascii="Bell MT" w:hAnsi="Bell MT"/>
        </w:rPr>
        <w:t xml:space="preserve"> </w:t>
      </w:r>
      <w:r w:rsidR="00407BCA" w:rsidRPr="007555CB">
        <w:rPr>
          <w:rFonts w:ascii="Bell MT" w:hAnsi="Bell MT"/>
        </w:rPr>
        <w:t xml:space="preserve">Organizing the poor took a while. </w:t>
      </w:r>
      <w:r w:rsidR="00ED5F62" w:rsidRPr="007555CB">
        <w:rPr>
          <w:rFonts w:ascii="Bell MT" w:hAnsi="Bell MT"/>
        </w:rPr>
        <w:t xml:space="preserve">The governing of the laboring classes was a chief concern of the early modern state. As churches across Europe struggled to maintain governance of the poor, </w:t>
      </w:r>
      <w:r w:rsidR="004056A9" w:rsidRPr="007555CB">
        <w:rPr>
          <w:rFonts w:ascii="Bell MT" w:hAnsi="Bell MT"/>
        </w:rPr>
        <w:t xml:space="preserve">the state increasingly sought alternative means to manage labourers and vagrants. Workhouses were one solution. Schools were another, but states resisted commitment to their funding. As mentioned above, Prussia was innovative in its adoption of a compulsory system of education. It cannot be stressed enough that this system was by no means a response to democratic demands. The concept of popular education would not intersect with the idea of democracy for another century. In fact, democracy was hardly uttered across Europe except derisively until </w:t>
      </w:r>
      <w:r w:rsidR="0002406C" w:rsidRPr="007555CB">
        <w:rPr>
          <w:rFonts w:ascii="Bell MT" w:hAnsi="Bell MT"/>
        </w:rPr>
        <w:t xml:space="preserve">well </w:t>
      </w:r>
      <w:r w:rsidR="004056A9" w:rsidRPr="007555CB">
        <w:rPr>
          <w:rFonts w:ascii="Bell MT" w:hAnsi="Bell MT"/>
        </w:rPr>
        <w:t xml:space="preserve">after the </w:t>
      </w:r>
      <w:r w:rsidR="0002406C" w:rsidRPr="007555CB">
        <w:rPr>
          <w:rFonts w:ascii="Bell MT" w:hAnsi="Bell MT"/>
        </w:rPr>
        <w:t xml:space="preserve">dust settled following the </w:t>
      </w:r>
      <w:r w:rsidR="004056A9" w:rsidRPr="007555CB">
        <w:rPr>
          <w:rFonts w:ascii="Bell MT" w:hAnsi="Bell MT"/>
        </w:rPr>
        <w:t>French Revolution</w:t>
      </w:r>
      <w:r w:rsidR="0002406C" w:rsidRPr="007555CB">
        <w:rPr>
          <w:rFonts w:ascii="Bell MT" w:hAnsi="Bell MT"/>
        </w:rPr>
        <w:t>.</w:t>
      </w:r>
      <w:r w:rsidR="005310BA" w:rsidRPr="007555CB">
        <w:rPr>
          <w:rFonts w:ascii="Bell MT" w:hAnsi="Bell MT"/>
        </w:rPr>
        <w:t xml:space="preserve"> </w:t>
      </w:r>
      <w:r w:rsidR="004056A9" w:rsidRPr="007555CB">
        <w:rPr>
          <w:rFonts w:ascii="Bell MT" w:hAnsi="Bell MT"/>
        </w:rPr>
        <w:t xml:space="preserve">It wasn’t until the nineteenth century that democracy and education had any relationship whatsoever. </w:t>
      </w:r>
    </w:p>
    <w:p w14:paraId="3537904F" w14:textId="3A970E59" w:rsidR="00F51704" w:rsidRPr="007555CB" w:rsidRDefault="005169F1" w:rsidP="0098178D">
      <w:pPr>
        <w:spacing w:line="276" w:lineRule="auto"/>
        <w:ind w:firstLine="720"/>
        <w:rPr>
          <w:rFonts w:ascii="Bell MT" w:hAnsi="Bell MT"/>
        </w:rPr>
      </w:pPr>
      <w:r w:rsidRPr="007555CB">
        <w:rPr>
          <w:rFonts w:ascii="Bell MT" w:hAnsi="Bell MT"/>
        </w:rPr>
        <w:t xml:space="preserve">The concept of ‘education’ intersected with the concept ‘democracy’ only when it was politically advantageous for proponents of both ideas to do so. For example, in England the push for democracy was utilitarian and religious in origin, though not universally so. Nor was it a surge from the ground up as historicist views are keen to describe. Rather, the position for democracy in nineteenth century England was a political one rather than a principled one. While politicians </w:t>
      </w:r>
      <w:r w:rsidR="009B3816" w:rsidRPr="007555CB">
        <w:rPr>
          <w:rFonts w:ascii="Bell MT" w:hAnsi="Bell MT"/>
        </w:rPr>
        <w:t xml:space="preserve">frequently </w:t>
      </w:r>
      <w:r w:rsidRPr="007555CB">
        <w:rPr>
          <w:rFonts w:ascii="Bell MT" w:hAnsi="Bell MT"/>
        </w:rPr>
        <w:t>invoke principles when seeking to advance their goals, we must regard these attempts even from the most ‘principled’ or strongly convicted polit</w:t>
      </w:r>
      <w:r w:rsidR="00E91B49" w:rsidRPr="007555CB">
        <w:rPr>
          <w:rFonts w:ascii="Bell MT" w:hAnsi="Bell MT"/>
        </w:rPr>
        <w:t>ician as ultimately rhetorical.</w:t>
      </w:r>
      <w:r w:rsidR="009B3816" w:rsidRPr="007555CB">
        <w:rPr>
          <w:rFonts w:ascii="Bell MT" w:hAnsi="Bell MT"/>
        </w:rPr>
        <w:t xml:space="preserve"> </w:t>
      </w:r>
    </w:p>
    <w:p w14:paraId="2D5E3B11" w14:textId="333FE2F2" w:rsidR="00E92DF4" w:rsidRPr="007555CB" w:rsidRDefault="00AC0312" w:rsidP="0098178D">
      <w:pPr>
        <w:spacing w:line="276" w:lineRule="auto"/>
        <w:ind w:firstLine="720"/>
        <w:rPr>
          <w:rFonts w:ascii="Bell MT" w:hAnsi="Bell MT"/>
        </w:rPr>
      </w:pPr>
      <w:r w:rsidRPr="007555CB">
        <w:rPr>
          <w:rFonts w:ascii="Bell MT" w:hAnsi="Bell MT"/>
        </w:rPr>
        <w:t>It is tempting to view the devel</w:t>
      </w:r>
      <w:r w:rsidR="00670150" w:rsidRPr="007555CB">
        <w:rPr>
          <w:rFonts w:ascii="Bell MT" w:hAnsi="Bell MT"/>
        </w:rPr>
        <w:t>opment of state schooling from the</w:t>
      </w:r>
      <w:r w:rsidRPr="007555CB">
        <w:rPr>
          <w:rFonts w:ascii="Bell MT" w:hAnsi="Bell MT"/>
        </w:rPr>
        <w:t xml:space="preserve"> perspective of social control, which </w:t>
      </w:r>
      <w:r w:rsidR="00B07D78" w:rsidRPr="007555CB">
        <w:rPr>
          <w:rFonts w:ascii="Bell MT" w:hAnsi="Bell MT"/>
        </w:rPr>
        <w:t xml:space="preserve">English </w:t>
      </w:r>
      <w:r w:rsidRPr="007555CB">
        <w:rPr>
          <w:rFonts w:ascii="Bell MT" w:hAnsi="Bell MT"/>
        </w:rPr>
        <w:t xml:space="preserve">historians such as </w:t>
      </w:r>
      <w:r w:rsidR="00670150" w:rsidRPr="007555CB">
        <w:rPr>
          <w:rFonts w:ascii="Bell MT" w:hAnsi="Bell MT"/>
        </w:rPr>
        <w:t>D.G. Paz are inclined to do</w:t>
      </w:r>
      <w:r w:rsidR="00D6723B" w:rsidRPr="007555CB">
        <w:rPr>
          <w:rFonts w:ascii="Bell MT" w:hAnsi="Bell MT"/>
        </w:rPr>
        <w:t xml:space="preserve"> </w:t>
      </w:r>
      <w:r w:rsidR="003F139D" w:rsidRPr="007555CB">
        <w:rPr>
          <w:rFonts w:ascii="Bell MT" w:hAnsi="Bell MT"/>
        </w:rPr>
        <w:t>(Paz, 1980</w:t>
      </w:r>
      <w:r w:rsidR="00D6723B" w:rsidRPr="007555CB">
        <w:rPr>
          <w:rFonts w:ascii="Bell MT" w:hAnsi="Bell MT"/>
        </w:rPr>
        <w:t>)</w:t>
      </w:r>
      <w:r w:rsidR="00670150" w:rsidRPr="007555CB">
        <w:rPr>
          <w:rFonts w:ascii="Bell MT" w:hAnsi="Bell MT"/>
        </w:rPr>
        <w:t xml:space="preserve">. However, historical reality is generally far too messy for one perspective to satisfy a thorough analysis. </w:t>
      </w:r>
      <w:r w:rsidR="00121A2F" w:rsidRPr="007555CB">
        <w:rPr>
          <w:rFonts w:ascii="Bell MT" w:hAnsi="Bell MT"/>
        </w:rPr>
        <w:t>Groups</w:t>
      </w:r>
      <w:r w:rsidR="009B3816" w:rsidRPr="007555CB">
        <w:rPr>
          <w:rFonts w:ascii="Bell MT" w:hAnsi="Bell MT"/>
        </w:rPr>
        <w:t xml:space="preserve"> who advanced a programme of democracy in England made strange bedfellows and intersected with proponents of education in decidedly unprincipled fashion. </w:t>
      </w:r>
      <w:r w:rsidR="00B07D78" w:rsidRPr="007555CB">
        <w:rPr>
          <w:rFonts w:ascii="Bell MT" w:hAnsi="Bell MT"/>
        </w:rPr>
        <w:t>Firstly, it must be understood that the concept of mass education predated the concept of state schooling by at lea</w:t>
      </w:r>
      <w:r w:rsidR="004554DD" w:rsidRPr="007555CB">
        <w:rPr>
          <w:rFonts w:ascii="Bell MT" w:hAnsi="Bell MT"/>
        </w:rPr>
        <w:t>st two centuries. Hartlib and D</w:t>
      </w:r>
      <w:r w:rsidR="00B07D78" w:rsidRPr="007555CB">
        <w:rPr>
          <w:rFonts w:ascii="Bell MT" w:hAnsi="Bell MT"/>
        </w:rPr>
        <w:t xml:space="preserve">ury in seventeenth century England advanced teachings of Jans Comenius who promoted education for all. While some historians, such as </w:t>
      </w:r>
      <w:r w:rsidR="00402BE0" w:rsidRPr="007555CB">
        <w:rPr>
          <w:rFonts w:ascii="Bell MT" w:hAnsi="Bell MT"/>
        </w:rPr>
        <w:t>Sadler</w:t>
      </w:r>
      <w:r w:rsidR="00B07D78" w:rsidRPr="007555CB">
        <w:rPr>
          <w:rFonts w:ascii="Bell MT" w:hAnsi="Bell MT"/>
        </w:rPr>
        <w:t xml:space="preserve"> view this proposed programme of education as democratic, it would be more accurate to say that it was intended to be far-reaching</w:t>
      </w:r>
      <w:r w:rsidR="00402BE0" w:rsidRPr="007555CB">
        <w:rPr>
          <w:rFonts w:ascii="Bell MT" w:hAnsi="Bell MT"/>
        </w:rPr>
        <w:t xml:space="preserve"> (Sadler, 1966)</w:t>
      </w:r>
      <w:r w:rsidR="009F3F77" w:rsidRPr="007555CB">
        <w:rPr>
          <w:rFonts w:ascii="Bell MT" w:hAnsi="Bell MT"/>
        </w:rPr>
        <w:t>. D</w:t>
      </w:r>
      <w:r w:rsidR="00B07D78" w:rsidRPr="007555CB">
        <w:rPr>
          <w:rFonts w:ascii="Bell MT" w:hAnsi="Bell MT"/>
        </w:rPr>
        <w:t>ury and Hartlib had little interest in teaching the English poor anything beyond solid moral behaviour and useful agricultural science</w:t>
      </w:r>
      <w:r w:rsidR="00402BE0" w:rsidRPr="007555CB">
        <w:rPr>
          <w:rFonts w:ascii="Bell MT" w:hAnsi="Bell MT"/>
        </w:rPr>
        <w:t xml:space="preserve"> </w:t>
      </w:r>
      <w:r w:rsidR="00847C88" w:rsidRPr="007555CB">
        <w:rPr>
          <w:rFonts w:ascii="Bell MT" w:hAnsi="Bell MT"/>
        </w:rPr>
        <w:t>(Turnbull, 1947)</w:t>
      </w:r>
      <w:r w:rsidR="00B07D78" w:rsidRPr="007555CB">
        <w:rPr>
          <w:rFonts w:ascii="Bell MT" w:hAnsi="Bell MT"/>
        </w:rPr>
        <w:t xml:space="preserve">. </w:t>
      </w:r>
    </w:p>
    <w:p w14:paraId="21FF2C39" w14:textId="6D17CFB1" w:rsidR="00B07D78" w:rsidRPr="007555CB" w:rsidRDefault="00B07D78" w:rsidP="0098178D">
      <w:pPr>
        <w:spacing w:line="276" w:lineRule="auto"/>
        <w:ind w:firstLine="720"/>
        <w:rPr>
          <w:rFonts w:ascii="Bell MT" w:hAnsi="Bell MT"/>
        </w:rPr>
      </w:pPr>
      <w:r w:rsidRPr="007555CB">
        <w:rPr>
          <w:rFonts w:ascii="Bell MT" w:hAnsi="Bell MT"/>
        </w:rPr>
        <w:t xml:space="preserve">Proposals for nineteenth century state schooling also had moral conduct and useful knowledge as its aims. It is often thought that the demand for mass education and its realization originated from the people, or more </w:t>
      </w:r>
      <w:r w:rsidR="00E92DF4" w:rsidRPr="007555CB">
        <w:rPr>
          <w:rFonts w:ascii="Bell MT" w:hAnsi="Bell MT"/>
        </w:rPr>
        <w:t>precisely</w:t>
      </w:r>
      <w:r w:rsidRPr="007555CB">
        <w:rPr>
          <w:rFonts w:ascii="Bell MT" w:hAnsi="Bell MT"/>
        </w:rPr>
        <w:t xml:space="preserve"> the proletariat. Dewey and Gutmann hold this view. In this telling of educational history, industrial workers fought for </w:t>
      </w:r>
      <w:r w:rsidR="00017635" w:rsidRPr="007555CB">
        <w:rPr>
          <w:rFonts w:ascii="Bell MT" w:hAnsi="Bell MT"/>
        </w:rPr>
        <w:t>universal suffrage and shared the understanding with political actors that such an extension would be irresponsible without a proper education to guide the newly enfranchised</w:t>
      </w:r>
      <w:r w:rsidR="009F3F77" w:rsidRPr="007555CB">
        <w:rPr>
          <w:rFonts w:ascii="Bell MT" w:hAnsi="Bell MT"/>
        </w:rPr>
        <w:t xml:space="preserve"> (Dewey, 1954; Gutman, 1987)</w:t>
      </w:r>
      <w:r w:rsidR="00017635" w:rsidRPr="007555CB">
        <w:rPr>
          <w:rFonts w:ascii="Bell MT" w:hAnsi="Bell MT"/>
        </w:rPr>
        <w:t>. It may very well be true that Chartists wanted both the vote and an education, but those who had been designing proposals for state schooling were more concerned with religious toleration and the diffusion of useful knowledge. Anglican liberals sought to remove sectarian divisions, while utilitarians</w:t>
      </w:r>
      <w:r w:rsidR="00E92DF4" w:rsidRPr="007555CB">
        <w:rPr>
          <w:rFonts w:ascii="Bell MT" w:hAnsi="Bell MT"/>
        </w:rPr>
        <w:t xml:space="preserve"> </w:t>
      </w:r>
      <w:r w:rsidR="00017635" w:rsidRPr="007555CB">
        <w:rPr>
          <w:rFonts w:ascii="Bell MT" w:hAnsi="Bell MT"/>
        </w:rPr>
        <w:t xml:space="preserve">sought to improve the industry and dignity of the would-be voter. Indeed, </w:t>
      </w:r>
      <w:r w:rsidR="00BD4870" w:rsidRPr="007555CB">
        <w:rPr>
          <w:rFonts w:ascii="Bell MT" w:hAnsi="Bell MT"/>
        </w:rPr>
        <w:t>parliament fretted more over granting the vote to Catholics than to workers</w:t>
      </w:r>
      <w:r w:rsidR="00017635" w:rsidRPr="007555CB">
        <w:rPr>
          <w:rFonts w:ascii="Bell MT" w:hAnsi="Bell MT"/>
        </w:rPr>
        <w:t>. Expanding rights of citizens beyond propertied Anglicans meant that workers would not only need to be productive, but need to coexist peacefully. Thus, moral education could no longer be the sole domain of the church as Dissenters, Catholics, and Anglicans</w:t>
      </w:r>
      <w:r w:rsidR="00121A2F" w:rsidRPr="007555CB">
        <w:rPr>
          <w:rFonts w:ascii="Bell MT" w:hAnsi="Bell MT"/>
        </w:rPr>
        <w:t xml:space="preserve"> would all need to get along in the classroom before reaching the factory</w:t>
      </w:r>
      <w:r w:rsidR="00017635" w:rsidRPr="007555CB">
        <w:rPr>
          <w:rFonts w:ascii="Bell MT" w:hAnsi="Bell MT"/>
        </w:rPr>
        <w:t xml:space="preserve">. </w:t>
      </w:r>
      <w:r w:rsidR="00697B3E" w:rsidRPr="007555CB">
        <w:rPr>
          <w:rFonts w:ascii="Bell MT" w:hAnsi="Bell MT"/>
        </w:rPr>
        <w:t xml:space="preserve">This pan-Christian education –– one ‘without raising those great points of theoretical difference by which the country had </w:t>
      </w:r>
      <w:r w:rsidR="00513C69" w:rsidRPr="007555CB">
        <w:rPr>
          <w:rFonts w:ascii="Bell MT" w:hAnsi="Bell MT"/>
        </w:rPr>
        <w:t>been so long agitated (</w:t>
      </w:r>
      <w:r w:rsidR="00290608" w:rsidRPr="007555CB">
        <w:rPr>
          <w:rFonts w:ascii="Bell MT" w:hAnsi="Bell MT"/>
        </w:rPr>
        <w:t>Brent</w:t>
      </w:r>
      <w:r w:rsidR="00513C69" w:rsidRPr="007555CB">
        <w:rPr>
          <w:rFonts w:ascii="Bell MT" w:hAnsi="Bell MT"/>
        </w:rPr>
        <w:t xml:space="preserve">, </w:t>
      </w:r>
      <w:r w:rsidR="00697B3E" w:rsidRPr="007555CB">
        <w:rPr>
          <w:rFonts w:ascii="Bell MT" w:hAnsi="Bell MT"/>
        </w:rPr>
        <w:t xml:space="preserve">p. 230)’ –– </w:t>
      </w:r>
      <w:r w:rsidR="00017635" w:rsidRPr="007555CB">
        <w:rPr>
          <w:rFonts w:ascii="Bell MT" w:hAnsi="Bell MT"/>
        </w:rPr>
        <w:t xml:space="preserve"> </w:t>
      </w:r>
      <w:r w:rsidR="00697B3E" w:rsidRPr="007555CB">
        <w:rPr>
          <w:rFonts w:ascii="Bell MT" w:hAnsi="Bell MT"/>
        </w:rPr>
        <w:t xml:space="preserve">was concerned with tolerance and discipline </w:t>
      </w:r>
      <w:r w:rsidR="005C6C46" w:rsidRPr="007555CB">
        <w:rPr>
          <w:rFonts w:ascii="Bell MT" w:hAnsi="Bell MT"/>
        </w:rPr>
        <w:t>rather than</w:t>
      </w:r>
      <w:r w:rsidR="00697B3E" w:rsidRPr="007555CB">
        <w:rPr>
          <w:rFonts w:ascii="Bell MT" w:hAnsi="Bell MT"/>
        </w:rPr>
        <w:t xml:space="preserve"> the informed democratic potential of individual state subjects. Indeed, some of the greatest proponents of universal suffrage such as J</w:t>
      </w:r>
      <w:r w:rsidR="00C82C9B" w:rsidRPr="007555CB">
        <w:rPr>
          <w:rFonts w:ascii="Bell MT" w:hAnsi="Bell MT"/>
        </w:rPr>
        <w:t>ames Mill and J</w:t>
      </w:r>
      <w:r w:rsidR="00697B3E" w:rsidRPr="007555CB">
        <w:rPr>
          <w:rFonts w:ascii="Bell MT" w:hAnsi="Bell MT"/>
        </w:rPr>
        <w:t xml:space="preserve">eremy Bentham did not regard formal schooling as necessary in informing </w:t>
      </w:r>
      <w:r w:rsidR="007126A3" w:rsidRPr="007555CB">
        <w:rPr>
          <w:rFonts w:ascii="Bell MT" w:hAnsi="Bell MT"/>
        </w:rPr>
        <w:t xml:space="preserve">the </w:t>
      </w:r>
      <w:r w:rsidR="00697B3E" w:rsidRPr="007555CB">
        <w:rPr>
          <w:rFonts w:ascii="Bell MT" w:hAnsi="Bell MT"/>
        </w:rPr>
        <w:t>attitudes of voters. Rather, it was believed that the very well-informed upper classes –– not the school would educate the working poor in matters political</w:t>
      </w:r>
      <w:r w:rsidR="00290608" w:rsidRPr="007555CB">
        <w:rPr>
          <w:rFonts w:ascii="Bell MT" w:hAnsi="Bell MT"/>
        </w:rPr>
        <w:t xml:space="preserve"> (</w:t>
      </w:r>
      <w:r w:rsidR="00C82C9B" w:rsidRPr="007555CB">
        <w:rPr>
          <w:rFonts w:ascii="Bell MT" w:hAnsi="Bell MT"/>
        </w:rPr>
        <w:t>Clark, p. 180)</w:t>
      </w:r>
      <w:r w:rsidR="00697B3E" w:rsidRPr="007555CB">
        <w:rPr>
          <w:rFonts w:ascii="Bell MT" w:hAnsi="Bell MT"/>
        </w:rPr>
        <w:t xml:space="preserve">. </w:t>
      </w:r>
    </w:p>
    <w:p w14:paraId="411DA916" w14:textId="0885699C" w:rsidR="00F8763C" w:rsidRPr="007555CB" w:rsidRDefault="00F8763C" w:rsidP="0098178D">
      <w:pPr>
        <w:spacing w:line="276" w:lineRule="auto"/>
        <w:ind w:firstLine="720"/>
        <w:rPr>
          <w:rFonts w:ascii="Bell MT" w:hAnsi="Bell MT"/>
        </w:rPr>
      </w:pPr>
      <w:r w:rsidRPr="007555CB">
        <w:rPr>
          <w:rFonts w:ascii="Bell MT" w:hAnsi="Bell MT"/>
        </w:rPr>
        <w:t xml:space="preserve">The </w:t>
      </w:r>
      <w:r w:rsidR="00245AEE" w:rsidRPr="007555CB">
        <w:rPr>
          <w:rFonts w:ascii="Bell MT" w:hAnsi="Bell MT"/>
        </w:rPr>
        <w:t xml:space="preserve">popular </w:t>
      </w:r>
      <w:r w:rsidR="005A5812" w:rsidRPr="007555CB">
        <w:rPr>
          <w:rFonts w:ascii="Bell MT" w:hAnsi="Bell MT"/>
        </w:rPr>
        <w:t>school must be viewed as a contingent and historical reality, which is rooted in the state’s desire to maintain</w:t>
      </w:r>
      <w:r w:rsidR="001F7DDD" w:rsidRPr="007555CB">
        <w:rPr>
          <w:rFonts w:ascii="Bell MT" w:hAnsi="Bell MT"/>
        </w:rPr>
        <w:t xml:space="preserve"> civil order. </w:t>
      </w:r>
      <w:r w:rsidR="00245AEE" w:rsidRPr="007555CB">
        <w:rPr>
          <w:rFonts w:ascii="Bell MT" w:hAnsi="Bell MT"/>
        </w:rPr>
        <w:t xml:space="preserve">Its origin had more to do with getting kids off the streets </w:t>
      </w:r>
      <w:r w:rsidR="00BD4870" w:rsidRPr="007555CB">
        <w:rPr>
          <w:rFonts w:ascii="Bell MT" w:hAnsi="Bell MT"/>
        </w:rPr>
        <w:t xml:space="preserve">and making sure their religious differences didn’t interfere with industry </w:t>
      </w:r>
      <w:r w:rsidR="00245AEE" w:rsidRPr="007555CB">
        <w:rPr>
          <w:rFonts w:ascii="Bell MT" w:hAnsi="Bell MT"/>
        </w:rPr>
        <w:t xml:space="preserve">than </w:t>
      </w:r>
      <w:r w:rsidR="001F7DDD" w:rsidRPr="007555CB">
        <w:rPr>
          <w:rFonts w:ascii="Bell MT" w:hAnsi="Bell MT"/>
        </w:rPr>
        <w:t>in developing</w:t>
      </w:r>
      <w:r w:rsidR="00245AEE" w:rsidRPr="007555CB">
        <w:rPr>
          <w:rFonts w:ascii="Bell MT" w:hAnsi="Bell MT"/>
        </w:rPr>
        <w:t xml:space="preserve"> the ‘complete person.’ </w:t>
      </w:r>
      <w:r w:rsidR="005A5812" w:rsidRPr="007555CB">
        <w:rPr>
          <w:rFonts w:ascii="Bell MT" w:hAnsi="Bell MT"/>
        </w:rPr>
        <w:t xml:space="preserve">It is without a doubt an instrument of </w:t>
      </w:r>
      <w:r w:rsidR="005A5812" w:rsidRPr="007555CB">
        <w:rPr>
          <w:rFonts w:ascii="Bell MT" w:hAnsi="Bell MT"/>
          <w:i/>
        </w:rPr>
        <w:t xml:space="preserve">gouvernmentalité </w:t>
      </w:r>
      <w:r w:rsidR="005A5812" w:rsidRPr="007555CB">
        <w:rPr>
          <w:rFonts w:ascii="Bell MT" w:hAnsi="Bell MT"/>
        </w:rPr>
        <w:t>–– one of many technologies available to the state. Thus, the school cannot t</w:t>
      </w:r>
      <w:r w:rsidR="006B1F22" w:rsidRPr="007555CB">
        <w:rPr>
          <w:rFonts w:ascii="Bell MT" w:hAnsi="Bell MT"/>
        </w:rPr>
        <w:t xml:space="preserve">ruly be said to fail in its inability to realize principles of democracy because this was never the school’s intention. Rather the actual school and the realm of theory have largely coexisted in entirely separate spheres. </w:t>
      </w:r>
      <w:r w:rsidR="00F75692" w:rsidRPr="007555CB">
        <w:rPr>
          <w:rFonts w:ascii="Bell MT" w:hAnsi="Bell MT"/>
        </w:rPr>
        <w:t xml:space="preserve">‘How can the state’s expert administration of the education system be harmonized with the principles of participatory democracy (Hunter, </w:t>
      </w:r>
      <w:r w:rsidR="00644497" w:rsidRPr="007555CB">
        <w:rPr>
          <w:rFonts w:ascii="Bell MT" w:hAnsi="Bell MT"/>
        </w:rPr>
        <w:t>1993</w:t>
      </w:r>
      <w:r w:rsidR="00F75692" w:rsidRPr="007555CB">
        <w:rPr>
          <w:rFonts w:ascii="Bell MT" w:hAnsi="Bell MT"/>
        </w:rPr>
        <w:t>, p. 237)?’</w:t>
      </w:r>
      <w:r w:rsidR="00A30971" w:rsidRPr="007555CB">
        <w:rPr>
          <w:rFonts w:ascii="Bell MT" w:hAnsi="Bell MT"/>
        </w:rPr>
        <w:t xml:space="preserve"> The theorist does not want the school to be coercive and proscriptive, but self-determining.</w:t>
      </w:r>
      <w:r w:rsidR="005310BA" w:rsidRPr="007555CB">
        <w:rPr>
          <w:rFonts w:ascii="Bell MT" w:hAnsi="Bell MT"/>
        </w:rPr>
        <w:t xml:space="preserve"> </w:t>
      </w:r>
    </w:p>
    <w:p w14:paraId="76931D30" w14:textId="53EF2586" w:rsidR="00574ABA" w:rsidRPr="007555CB" w:rsidRDefault="000A603B" w:rsidP="0098178D">
      <w:pPr>
        <w:spacing w:line="276" w:lineRule="auto"/>
        <w:rPr>
          <w:rFonts w:ascii="Bell MT" w:hAnsi="Bell MT"/>
        </w:rPr>
      </w:pPr>
      <w:r w:rsidRPr="007555CB">
        <w:rPr>
          <w:rFonts w:ascii="Bell MT" w:hAnsi="Bell MT"/>
        </w:rPr>
        <w:tab/>
      </w:r>
      <w:r w:rsidR="00E32ACF" w:rsidRPr="007555CB">
        <w:rPr>
          <w:rFonts w:ascii="Bell MT" w:hAnsi="Bell MT"/>
        </w:rPr>
        <w:t xml:space="preserve">The problem with theory is that it often has more to do with </w:t>
      </w:r>
      <w:r w:rsidR="00BD4870" w:rsidRPr="007555CB">
        <w:rPr>
          <w:rFonts w:ascii="Bell MT" w:hAnsi="Bell MT"/>
        </w:rPr>
        <w:t xml:space="preserve">the performance of ‘mental gymanstics’ that separate the theorist </w:t>
      </w:r>
      <w:r w:rsidR="00AE7C60" w:rsidRPr="007555CB">
        <w:rPr>
          <w:rFonts w:ascii="Bell MT" w:hAnsi="Bell MT"/>
        </w:rPr>
        <w:t>in a strata of moral high ground</w:t>
      </w:r>
      <w:r w:rsidR="00BD4870" w:rsidRPr="007555CB">
        <w:rPr>
          <w:rFonts w:ascii="Bell MT" w:hAnsi="Bell MT"/>
        </w:rPr>
        <w:t xml:space="preserve"> </w:t>
      </w:r>
      <w:r w:rsidR="00805E1A" w:rsidRPr="007555CB">
        <w:rPr>
          <w:rFonts w:ascii="Bell MT" w:hAnsi="Bell MT"/>
        </w:rPr>
        <w:t xml:space="preserve">than in advancing any useful political response to educational issues. </w:t>
      </w:r>
      <w:r w:rsidR="008557F7" w:rsidRPr="007555CB">
        <w:rPr>
          <w:rFonts w:ascii="Bell MT" w:hAnsi="Bell MT"/>
        </w:rPr>
        <w:t xml:space="preserve">Theorists mistrust sociologists and historians because they fear </w:t>
      </w:r>
      <w:r w:rsidR="00574ABA" w:rsidRPr="007555CB">
        <w:rPr>
          <w:rFonts w:ascii="Bell MT" w:hAnsi="Bell MT"/>
        </w:rPr>
        <w:t xml:space="preserve">that </w:t>
      </w:r>
      <w:r w:rsidR="008557F7" w:rsidRPr="007555CB">
        <w:rPr>
          <w:rFonts w:ascii="Bell MT" w:hAnsi="Bell MT"/>
        </w:rPr>
        <w:t xml:space="preserve">the methodologies at their disposal are ill-equipped for any theoretical analysis of theory itself. </w:t>
      </w:r>
      <w:r w:rsidR="00E5266F" w:rsidRPr="007555CB">
        <w:rPr>
          <w:rFonts w:ascii="Bell MT" w:hAnsi="Bell MT"/>
        </w:rPr>
        <w:t>Thus, insular and protectionist theorists seek their own methods of self-analysis. This paper assumes Hunter’s position that theory’s attempt at self-examination</w:t>
      </w:r>
      <w:r w:rsidR="008557F7" w:rsidRPr="007555CB">
        <w:rPr>
          <w:rFonts w:ascii="Bell MT" w:hAnsi="Bell MT"/>
        </w:rPr>
        <w:t xml:space="preserve"> </w:t>
      </w:r>
      <w:r w:rsidR="00E5266F" w:rsidRPr="007555CB">
        <w:rPr>
          <w:rFonts w:ascii="Bell MT" w:hAnsi="Bell MT"/>
        </w:rPr>
        <w:t>contributes more to the ‘inner theatre’ of the theorist than any interpretation of her place in historical and political context.</w:t>
      </w:r>
      <w:r w:rsidR="008557F7" w:rsidRPr="007555CB">
        <w:rPr>
          <w:rFonts w:ascii="Bell MT" w:hAnsi="Bell MT"/>
        </w:rPr>
        <w:t xml:space="preserve"> </w:t>
      </w:r>
    </w:p>
    <w:p w14:paraId="2C907701" w14:textId="6BC0C170" w:rsidR="00B914CD" w:rsidRPr="007555CB" w:rsidRDefault="00574ABA" w:rsidP="0098178D">
      <w:pPr>
        <w:spacing w:line="276" w:lineRule="auto"/>
        <w:ind w:firstLine="720"/>
        <w:rPr>
          <w:rFonts w:ascii="Bell MT" w:hAnsi="Bell MT"/>
        </w:rPr>
      </w:pPr>
      <w:r w:rsidRPr="007555CB">
        <w:rPr>
          <w:rFonts w:ascii="Bell MT" w:hAnsi="Bell MT"/>
        </w:rPr>
        <w:t xml:space="preserve">An overview of the history of theory is beyond the scope of this study, however it will be necessary to trace some trends </w:t>
      </w:r>
      <w:r w:rsidR="00A83A46" w:rsidRPr="007555CB">
        <w:rPr>
          <w:rFonts w:ascii="Bell MT" w:hAnsi="Bell MT"/>
        </w:rPr>
        <w:t>in its development over the past century</w:t>
      </w:r>
      <w:r w:rsidRPr="007555CB">
        <w:rPr>
          <w:rFonts w:ascii="Bell MT" w:hAnsi="Bell MT"/>
        </w:rPr>
        <w:t>.</w:t>
      </w:r>
      <w:r w:rsidR="00A83A46" w:rsidRPr="007555CB">
        <w:rPr>
          <w:rFonts w:ascii="Bell MT" w:hAnsi="Bell MT"/>
        </w:rPr>
        <w:t xml:space="preserve"> Peter Wagner identifies a split in the 1930s following Edmund Husserl’s declaration of a ‘crisis of the European sciences</w:t>
      </w:r>
      <w:r w:rsidR="00871241" w:rsidRPr="007555CB">
        <w:rPr>
          <w:rFonts w:ascii="Bell MT" w:hAnsi="Bell MT"/>
        </w:rPr>
        <w:t xml:space="preserve"> (Wagner, 2001)</w:t>
      </w:r>
      <w:r w:rsidR="00A83A46" w:rsidRPr="007555CB">
        <w:rPr>
          <w:rFonts w:ascii="Bell MT" w:hAnsi="Bell MT"/>
        </w:rPr>
        <w:t>.’ To Wagner, one response to this crisis was forged by Max Horkheimer whose path led to the development of Critical Theory, whereas Heidegger blazed a divergent path to which post-structuralism continues to refer</w:t>
      </w:r>
      <w:r w:rsidR="00C96588" w:rsidRPr="007555CB">
        <w:rPr>
          <w:rFonts w:ascii="Bell MT" w:hAnsi="Bell MT"/>
        </w:rPr>
        <w:t xml:space="preserve"> (Wagner, p. 15-16)</w:t>
      </w:r>
      <w:r w:rsidR="00A83A46" w:rsidRPr="007555CB">
        <w:rPr>
          <w:rFonts w:ascii="Bell MT" w:hAnsi="Bell MT"/>
        </w:rPr>
        <w:t xml:space="preserve">. </w:t>
      </w:r>
      <w:r w:rsidR="00C96588" w:rsidRPr="007555CB">
        <w:rPr>
          <w:rFonts w:ascii="Bell MT" w:hAnsi="Bell MT"/>
        </w:rPr>
        <w:t>Furthermore, ‘Deweyan pragmatism is often seen as a critical inquiry into the modern condition that avoids the pitfalls of the approaches inspired by Horkheimer and by Heidegger (Wagner, p. 16).’</w:t>
      </w:r>
      <w:r w:rsidR="00D56B3E" w:rsidRPr="007555CB">
        <w:rPr>
          <w:rFonts w:ascii="Bell MT" w:hAnsi="Bell MT"/>
        </w:rPr>
        <w:t xml:space="preserve"> Indeed, Richard Rorty identifies Dewey along with Heidegger and Wittgenstein as the</w:t>
      </w:r>
      <w:r w:rsidR="00011343" w:rsidRPr="007555CB">
        <w:rPr>
          <w:rFonts w:ascii="Bell MT" w:hAnsi="Bell MT"/>
        </w:rPr>
        <w:t xml:space="preserve"> most</w:t>
      </w:r>
      <w:r w:rsidR="00D56B3E" w:rsidRPr="007555CB">
        <w:rPr>
          <w:rFonts w:ascii="Bell MT" w:hAnsi="Bell MT"/>
        </w:rPr>
        <w:t xml:space="preserve"> important thinkers of the twentieth century.</w:t>
      </w:r>
      <w:r w:rsidR="000A603B" w:rsidRPr="007555CB">
        <w:rPr>
          <w:rFonts w:ascii="Bell MT" w:hAnsi="Bell MT"/>
        </w:rPr>
        <w:t xml:space="preserve"> </w:t>
      </w:r>
      <w:r w:rsidR="005213E6" w:rsidRPr="007555CB">
        <w:rPr>
          <w:rFonts w:ascii="Bell MT" w:hAnsi="Bell MT"/>
        </w:rPr>
        <w:t xml:space="preserve">However, Rorty’s interpretation of Dewey is well-documented as </w:t>
      </w:r>
      <w:r w:rsidR="00805E1A" w:rsidRPr="007555CB">
        <w:rPr>
          <w:rFonts w:ascii="Bell MT" w:hAnsi="Bell MT"/>
        </w:rPr>
        <w:t>somewhat opportunistic if not irresponsible</w:t>
      </w:r>
      <w:r w:rsidR="005213E6" w:rsidRPr="007555CB">
        <w:rPr>
          <w:rFonts w:ascii="Bell MT" w:hAnsi="Bell MT"/>
        </w:rPr>
        <w:t xml:space="preserve"> (Westbrook, </w:t>
      </w:r>
      <w:r w:rsidR="008E395A" w:rsidRPr="007555CB">
        <w:rPr>
          <w:rFonts w:ascii="Bell MT" w:hAnsi="Bell MT"/>
        </w:rPr>
        <w:t>p. 539</w:t>
      </w:r>
      <w:r w:rsidR="00B7079A" w:rsidRPr="007555CB">
        <w:rPr>
          <w:rFonts w:ascii="Bell MT" w:hAnsi="Bell MT"/>
        </w:rPr>
        <w:t xml:space="preserve">; Rorty, </w:t>
      </w:r>
      <w:r w:rsidR="000C2E96" w:rsidRPr="007555CB">
        <w:rPr>
          <w:rFonts w:ascii="Bell MT" w:hAnsi="Bell MT"/>
        </w:rPr>
        <w:t xml:space="preserve">p.5, </w:t>
      </w:r>
      <w:r w:rsidR="00B7079A" w:rsidRPr="007555CB">
        <w:rPr>
          <w:rFonts w:ascii="Bell MT" w:hAnsi="Bell MT"/>
        </w:rPr>
        <w:t>1979)</w:t>
      </w:r>
      <w:r w:rsidR="005213E6" w:rsidRPr="007555CB">
        <w:rPr>
          <w:rFonts w:ascii="Bell MT" w:hAnsi="Bell MT"/>
        </w:rPr>
        <w:t>.</w:t>
      </w:r>
      <w:r w:rsidR="00805E1A" w:rsidRPr="007555CB">
        <w:rPr>
          <w:rFonts w:ascii="Bell MT" w:hAnsi="Bell MT"/>
        </w:rPr>
        <w:t xml:space="preserve"> While</w:t>
      </w:r>
      <w:r w:rsidR="005213E6" w:rsidRPr="007555CB">
        <w:rPr>
          <w:rFonts w:ascii="Bell MT" w:hAnsi="Bell MT"/>
        </w:rPr>
        <w:t xml:space="preserve"> </w:t>
      </w:r>
      <w:r w:rsidR="007A37EC" w:rsidRPr="007555CB">
        <w:rPr>
          <w:rFonts w:ascii="Bell MT" w:hAnsi="Bell MT"/>
        </w:rPr>
        <w:t xml:space="preserve">Rorty sees </w:t>
      </w:r>
      <w:r w:rsidR="003776B6" w:rsidRPr="007555CB">
        <w:rPr>
          <w:rFonts w:ascii="Bell MT" w:hAnsi="Bell MT"/>
        </w:rPr>
        <w:t>himself inheriting Dewey’s tradition and Habermas a bit more like Max Weber</w:t>
      </w:r>
      <w:r w:rsidR="00805E1A" w:rsidRPr="007555CB">
        <w:rPr>
          <w:rFonts w:ascii="Bell MT" w:hAnsi="Bell MT"/>
        </w:rPr>
        <w:t xml:space="preserve">, </w:t>
      </w:r>
      <w:r w:rsidR="00B7079A" w:rsidRPr="007555CB">
        <w:rPr>
          <w:rFonts w:ascii="Bell MT" w:hAnsi="Bell MT"/>
        </w:rPr>
        <w:t xml:space="preserve">J.T. </w:t>
      </w:r>
      <w:r w:rsidR="007A37EC" w:rsidRPr="007555CB">
        <w:rPr>
          <w:rFonts w:ascii="Bell MT" w:hAnsi="Bell MT"/>
        </w:rPr>
        <w:t>Kloppenberg ha</w:t>
      </w:r>
      <w:r w:rsidR="00805E1A" w:rsidRPr="007555CB">
        <w:rPr>
          <w:rFonts w:ascii="Bell MT" w:hAnsi="Bell MT"/>
        </w:rPr>
        <w:t>s convincingly argued that</w:t>
      </w:r>
      <w:r w:rsidR="007A37EC" w:rsidRPr="007555CB">
        <w:rPr>
          <w:rFonts w:ascii="Bell MT" w:hAnsi="Bell MT"/>
        </w:rPr>
        <w:t xml:space="preserve"> Habermas’ ideal speech situation is more akin to Dewey’s democratic application of the scientific method (Kloppenberg</w:t>
      </w:r>
      <w:r w:rsidR="00B7079A" w:rsidRPr="007555CB">
        <w:rPr>
          <w:rFonts w:ascii="Bell MT" w:hAnsi="Bell MT"/>
        </w:rPr>
        <w:t>, 1994</w:t>
      </w:r>
      <w:r w:rsidR="007A37EC" w:rsidRPr="007555CB">
        <w:rPr>
          <w:rFonts w:ascii="Bell MT" w:hAnsi="Bell MT"/>
        </w:rPr>
        <w:t xml:space="preserve">). </w:t>
      </w:r>
      <w:r w:rsidR="002E5C11" w:rsidRPr="007555CB">
        <w:rPr>
          <w:rFonts w:ascii="Bell MT" w:hAnsi="Bell MT"/>
        </w:rPr>
        <w:t>An analysis of these three approaches to modern theory w</w:t>
      </w:r>
      <w:r w:rsidR="00D36BAF" w:rsidRPr="007555CB">
        <w:rPr>
          <w:rFonts w:ascii="Bell MT" w:hAnsi="Bell MT"/>
        </w:rPr>
        <w:t xml:space="preserve">ill reveal that none escape foundation in moral principles which conflict with the foundation of civil society and the school. </w:t>
      </w:r>
    </w:p>
    <w:p w14:paraId="5B565F71" w14:textId="54B13287" w:rsidR="00805E1A" w:rsidRPr="007555CB" w:rsidRDefault="00EC3CC1" w:rsidP="0098178D">
      <w:pPr>
        <w:spacing w:line="276" w:lineRule="auto"/>
        <w:rPr>
          <w:rFonts w:ascii="Bell MT" w:hAnsi="Bell MT"/>
        </w:rPr>
      </w:pPr>
      <w:r w:rsidRPr="007555CB">
        <w:rPr>
          <w:rFonts w:ascii="Bell MT" w:hAnsi="Bell MT"/>
        </w:rPr>
        <w:tab/>
      </w:r>
      <w:r w:rsidR="00657765" w:rsidRPr="007555CB">
        <w:rPr>
          <w:rFonts w:ascii="Bell MT" w:hAnsi="Bell MT"/>
        </w:rPr>
        <w:t>The theoretical methodologies pioneered by Horkheimer, Heidegger, and Dewey can be seen as a response to the problem of experience posed by Kant (</w:t>
      </w:r>
      <w:r w:rsidR="00871241" w:rsidRPr="007555CB">
        <w:rPr>
          <w:rFonts w:ascii="Bell MT" w:hAnsi="Bell MT"/>
        </w:rPr>
        <w:t xml:space="preserve">Kloppenberg, </w:t>
      </w:r>
      <w:r w:rsidR="00B3140D" w:rsidRPr="007555CB">
        <w:rPr>
          <w:rFonts w:ascii="Bell MT" w:hAnsi="Bell MT"/>
        </w:rPr>
        <w:t xml:space="preserve">1986). </w:t>
      </w:r>
      <w:r w:rsidR="00657765" w:rsidRPr="007555CB">
        <w:rPr>
          <w:rFonts w:ascii="Bell MT" w:hAnsi="Bell MT"/>
        </w:rPr>
        <w:t xml:space="preserve">The lineage of Heidegger’s thought in the philosophy of the poststructuralists is overtly transcendental, whereas the traditions forged by Horkheimer and Dewey </w:t>
      </w:r>
      <w:r w:rsidR="009751C7" w:rsidRPr="007555CB">
        <w:rPr>
          <w:rFonts w:ascii="Bell MT" w:hAnsi="Bell MT"/>
        </w:rPr>
        <w:t xml:space="preserve">mask their metaphysics, whether intentionally or otherwise, in the discourse of rational consensus. </w:t>
      </w:r>
      <w:r w:rsidR="00BF7BBD" w:rsidRPr="007555CB">
        <w:rPr>
          <w:rFonts w:ascii="Bell MT" w:hAnsi="Bell MT"/>
        </w:rPr>
        <w:t>Jacques Derrida, whom many educational theorists invoke in the philosophical stratosphere of utopian potentiality, follows Heidegger in repudiating Kant’s model of critique in which the subject gains insight into the categories of her own experience</w:t>
      </w:r>
      <w:r w:rsidR="003F1787" w:rsidRPr="007555CB">
        <w:rPr>
          <w:rFonts w:ascii="Bell MT" w:hAnsi="Bell MT"/>
        </w:rPr>
        <w:t xml:space="preserve"> (</w:t>
      </w:r>
      <w:r w:rsidR="002D360F" w:rsidRPr="007555CB">
        <w:rPr>
          <w:rFonts w:ascii="Bell MT" w:hAnsi="Bell MT"/>
        </w:rPr>
        <w:t>Derrida, 1978, p. 278-93</w:t>
      </w:r>
      <w:r w:rsidR="003F1787" w:rsidRPr="007555CB">
        <w:rPr>
          <w:rFonts w:ascii="Bell MT" w:hAnsi="Bell MT"/>
        </w:rPr>
        <w:t>)</w:t>
      </w:r>
      <w:r w:rsidR="00BF7BBD" w:rsidRPr="007555CB">
        <w:rPr>
          <w:rFonts w:ascii="Bell MT" w:hAnsi="Bell MT"/>
        </w:rPr>
        <w:t xml:space="preserve">. </w:t>
      </w:r>
      <w:r w:rsidR="00CF074F" w:rsidRPr="007555CB">
        <w:rPr>
          <w:rFonts w:ascii="Bell MT" w:hAnsi="Bell MT"/>
        </w:rPr>
        <w:t>To Heidegger, the incalculable multitude of factors in experience make categorization not only impossible but irrelevant –– what counts is the acknowledgement of their moment of culmination and the limitless potential inherent in each of these moments. So too with Derrida</w:t>
      </w:r>
      <w:r w:rsidR="003F1787" w:rsidRPr="007555CB">
        <w:rPr>
          <w:rFonts w:ascii="Bell MT" w:hAnsi="Bell MT"/>
        </w:rPr>
        <w:t xml:space="preserve"> (</w:t>
      </w:r>
      <w:r w:rsidR="002D360F" w:rsidRPr="007555CB">
        <w:rPr>
          <w:rFonts w:ascii="Bell MT" w:hAnsi="Bell MT"/>
        </w:rPr>
        <w:t>Derrida, 1978</w:t>
      </w:r>
      <w:r w:rsidR="003F1787" w:rsidRPr="007555CB">
        <w:rPr>
          <w:rFonts w:ascii="Bell MT" w:hAnsi="Bell MT"/>
        </w:rPr>
        <w:t>)</w:t>
      </w:r>
      <w:r w:rsidR="00CF074F" w:rsidRPr="007555CB">
        <w:rPr>
          <w:rFonts w:ascii="Bell MT" w:hAnsi="Bell MT"/>
        </w:rPr>
        <w:t xml:space="preserve">. </w:t>
      </w:r>
    </w:p>
    <w:p w14:paraId="7BF6A825" w14:textId="476E5A32" w:rsidR="00BD3877" w:rsidRPr="007555CB" w:rsidRDefault="002E627C" w:rsidP="0098178D">
      <w:pPr>
        <w:spacing w:line="276" w:lineRule="auto"/>
        <w:ind w:firstLine="720"/>
        <w:rPr>
          <w:rFonts w:ascii="Bell MT" w:hAnsi="Bell MT"/>
        </w:rPr>
      </w:pPr>
      <w:r w:rsidRPr="007555CB">
        <w:rPr>
          <w:rFonts w:ascii="Bell MT" w:hAnsi="Bell MT"/>
        </w:rPr>
        <w:t xml:space="preserve">The sort of transcendental reduction that Husserl called </w:t>
      </w:r>
      <w:r w:rsidRPr="007555CB">
        <w:rPr>
          <w:rFonts w:ascii="Bell MT" w:hAnsi="Bell MT"/>
          <w:i/>
        </w:rPr>
        <w:t>epoché</w:t>
      </w:r>
      <w:r w:rsidRPr="007555CB">
        <w:rPr>
          <w:rFonts w:ascii="Bell MT" w:hAnsi="Bell MT"/>
        </w:rPr>
        <w:t xml:space="preserve"> is here a spiritual exercise that </w:t>
      </w:r>
      <w:r w:rsidR="00005AF8" w:rsidRPr="007555CB">
        <w:rPr>
          <w:rFonts w:ascii="Bell MT" w:hAnsi="Bell MT"/>
        </w:rPr>
        <w:t xml:space="preserve">interprets categories of experience, and hence knowledge, as potential subjects of discourse. Because everything is uncertain and unanswerable, anything can be true. </w:t>
      </w:r>
      <w:r w:rsidR="00FE118C" w:rsidRPr="007555CB">
        <w:rPr>
          <w:rFonts w:ascii="Bell MT" w:hAnsi="Bell MT"/>
        </w:rPr>
        <w:t xml:space="preserve">For Heidegger and Derrida, epistemology is obliterated by the </w:t>
      </w:r>
      <w:r w:rsidR="00005AF8" w:rsidRPr="007555CB">
        <w:rPr>
          <w:rFonts w:ascii="Bell MT" w:hAnsi="Bell MT"/>
        </w:rPr>
        <w:t xml:space="preserve">transcendental </w:t>
      </w:r>
      <w:r w:rsidR="00FE118C" w:rsidRPr="007555CB">
        <w:rPr>
          <w:rFonts w:ascii="Bell MT" w:hAnsi="Bell MT"/>
        </w:rPr>
        <w:t xml:space="preserve">force of ontology. </w:t>
      </w:r>
      <w:r w:rsidR="0070483B" w:rsidRPr="007555CB">
        <w:rPr>
          <w:rFonts w:ascii="Bell MT" w:hAnsi="Bell MT"/>
        </w:rPr>
        <w:t xml:space="preserve">This does us little good in attempting to transform state schooling. But don’t tell Henry Giroux: He’s convinced that </w:t>
      </w:r>
      <w:r w:rsidR="00F16942" w:rsidRPr="007555CB">
        <w:rPr>
          <w:rFonts w:ascii="Bell MT" w:hAnsi="Bell MT"/>
        </w:rPr>
        <w:t>‘we must do and think</w:t>
      </w:r>
      <w:r w:rsidR="00724148" w:rsidRPr="007555CB">
        <w:rPr>
          <w:rFonts w:ascii="Bell MT" w:hAnsi="Bell MT"/>
        </w:rPr>
        <w:t xml:space="preserve"> the impossible (Giroux, 2003</w:t>
      </w:r>
      <w:r w:rsidR="00F16942" w:rsidRPr="007555CB">
        <w:rPr>
          <w:rFonts w:ascii="Bell MT" w:hAnsi="Bell MT"/>
        </w:rPr>
        <w:t xml:space="preserve">),’ which </w:t>
      </w:r>
      <w:r w:rsidR="00DB67EE" w:rsidRPr="007555CB">
        <w:rPr>
          <w:rFonts w:ascii="Bell MT" w:hAnsi="Bell MT"/>
        </w:rPr>
        <w:t>winds up sounding a lot</w:t>
      </w:r>
      <w:r w:rsidR="00F16942" w:rsidRPr="007555CB">
        <w:rPr>
          <w:rFonts w:ascii="Bell MT" w:hAnsi="Bell MT"/>
        </w:rPr>
        <w:t xml:space="preserve"> like ‘we must act out our fantasies’ –– an act the university </w:t>
      </w:r>
      <w:r w:rsidR="00BB5DAB" w:rsidRPr="007555CB">
        <w:rPr>
          <w:rFonts w:ascii="Bell MT" w:hAnsi="Bell MT"/>
        </w:rPr>
        <w:t xml:space="preserve">humanities </w:t>
      </w:r>
      <w:r w:rsidR="00F16942" w:rsidRPr="007555CB">
        <w:rPr>
          <w:rFonts w:ascii="Bell MT" w:hAnsi="Bell MT"/>
        </w:rPr>
        <w:t xml:space="preserve">professor </w:t>
      </w:r>
      <w:r w:rsidR="00BB5DAB" w:rsidRPr="007555CB">
        <w:rPr>
          <w:rFonts w:ascii="Bell MT" w:hAnsi="Bell MT"/>
        </w:rPr>
        <w:t xml:space="preserve">of </w:t>
      </w:r>
      <w:r w:rsidR="00F16942" w:rsidRPr="007555CB">
        <w:rPr>
          <w:rFonts w:ascii="Bell MT" w:hAnsi="Bell MT"/>
        </w:rPr>
        <w:t>is o</w:t>
      </w:r>
      <w:r w:rsidR="00BB5DAB" w:rsidRPr="007555CB">
        <w:rPr>
          <w:rFonts w:ascii="Bell MT" w:hAnsi="Bell MT"/>
        </w:rPr>
        <w:t>ften quite willing to perform for</w:t>
      </w:r>
      <w:r w:rsidR="00F16942" w:rsidRPr="007555CB">
        <w:rPr>
          <w:rFonts w:ascii="Bell MT" w:hAnsi="Bell MT"/>
        </w:rPr>
        <w:t xml:space="preserve"> fellow initiates in the</w:t>
      </w:r>
      <w:r w:rsidR="00805E1A" w:rsidRPr="007555CB">
        <w:rPr>
          <w:rFonts w:ascii="Bell MT" w:hAnsi="Bell MT"/>
        </w:rPr>
        <w:t>ir</w:t>
      </w:r>
      <w:r w:rsidR="00F16942" w:rsidRPr="007555CB">
        <w:rPr>
          <w:rFonts w:ascii="Bell MT" w:hAnsi="Bell MT"/>
        </w:rPr>
        <w:t xml:space="preserve"> </w:t>
      </w:r>
      <w:r w:rsidR="003776B6" w:rsidRPr="007555CB">
        <w:rPr>
          <w:rFonts w:ascii="Bell MT" w:hAnsi="Bell MT"/>
        </w:rPr>
        <w:t xml:space="preserve">exclusive societies for the appreciation of </w:t>
      </w:r>
      <w:r w:rsidR="00F16942" w:rsidRPr="007555CB">
        <w:rPr>
          <w:rFonts w:ascii="Bell MT" w:hAnsi="Bell MT"/>
        </w:rPr>
        <w:t xml:space="preserve">transcendental philosophy. </w:t>
      </w:r>
    </w:p>
    <w:p w14:paraId="20FF3503" w14:textId="3F89E81E" w:rsidR="00CA56E2" w:rsidRPr="007555CB" w:rsidRDefault="00B914CD" w:rsidP="0098178D">
      <w:pPr>
        <w:spacing w:line="276" w:lineRule="auto"/>
        <w:ind w:firstLine="720"/>
        <w:rPr>
          <w:rFonts w:ascii="Bell MT" w:hAnsi="Bell MT"/>
        </w:rPr>
      </w:pPr>
      <w:r w:rsidRPr="007555CB">
        <w:rPr>
          <w:rFonts w:ascii="Bell MT" w:hAnsi="Bell MT"/>
        </w:rPr>
        <w:t>Horkheimer and associa</w:t>
      </w:r>
      <w:r w:rsidR="009C741A" w:rsidRPr="007555CB">
        <w:rPr>
          <w:rFonts w:ascii="Bell MT" w:hAnsi="Bell MT"/>
        </w:rPr>
        <w:t>ted theorists of the Frankfurt s</w:t>
      </w:r>
      <w:r w:rsidRPr="007555CB">
        <w:rPr>
          <w:rFonts w:ascii="Bell MT" w:hAnsi="Bell MT"/>
        </w:rPr>
        <w:t>chool rely on the tradition of German idealism and in particular are steeped in the Marxian application of the dialectic by way of Hegel.</w:t>
      </w:r>
      <w:r w:rsidR="001059FA" w:rsidRPr="007555CB">
        <w:rPr>
          <w:rFonts w:ascii="Bell MT" w:hAnsi="Bell MT"/>
        </w:rPr>
        <w:t xml:space="preserve"> Jürgen Habermas, who has distanced himself</w:t>
      </w:r>
      <w:r w:rsidR="00805E1A" w:rsidRPr="007555CB">
        <w:rPr>
          <w:rFonts w:ascii="Bell MT" w:hAnsi="Bell MT"/>
        </w:rPr>
        <w:t xml:space="preserve"> from Marxism, retains a Hegelian approach in his theory.</w:t>
      </w:r>
      <w:r w:rsidRPr="007555CB">
        <w:rPr>
          <w:rFonts w:ascii="Bell MT" w:hAnsi="Bell MT"/>
        </w:rPr>
        <w:t xml:space="preserve"> </w:t>
      </w:r>
      <w:r w:rsidR="00EC3CC1" w:rsidRPr="007555CB">
        <w:rPr>
          <w:rFonts w:ascii="Bell MT" w:hAnsi="Bell MT"/>
        </w:rPr>
        <w:t xml:space="preserve">Habermas upset the community of critical theorists by attacking the poststructuralists whom the American universities </w:t>
      </w:r>
      <w:r w:rsidR="00DB629E" w:rsidRPr="007555CB">
        <w:rPr>
          <w:rFonts w:ascii="Bell MT" w:hAnsi="Bell MT"/>
        </w:rPr>
        <w:t xml:space="preserve">continue to </w:t>
      </w:r>
      <w:r w:rsidR="00EC3CC1" w:rsidRPr="007555CB">
        <w:rPr>
          <w:rFonts w:ascii="Bell MT" w:hAnsi="Bell MT"/>
        </w:rPr>
        <w:t xml:space="preserve">hold so dear (Habermas, 1987). </w:t>
      </w:r>
      <w:r w:rsidR="00CE4C95" w:rsidRPr="007555CB">
        <w:rPr>
          <w:rFonts w:ascii="Bell MT" w:hAnsi="Bell MT"/>
        </w:rPr>
        <w:t xml:space="preserve">Make no mistake that </w:t>
      </w:r>
      <w:r w:rsidR="00EC3CC1" w:rsidRPr="007555CB">
        <w:rPr>
          <w:rFonts w:ascii="Bell MT" w:hAnsi="Bell MT"/>
        </w:rPr>
        <w:t xml:space="preserve">Habermas’ programme is teleological. While it gives the appearance of being detranscendentalized, it employs the quintessentially transcendental </w:t>
      </w:r>
      <w:r w:rsidR="00EC3CC1" w:rsidRPr="007555CB">
        <w:rPr>
          <w:rFonts w:ascii="Bell MT" w:hAnsi="Bell MT"/>
          <w:i/>
        </w:rPr>
        <w:t>epoché</w:t>
      </w:r>
      <w:r w:rsidR="00EC3CC1" w:rsidRPr="007555CB">
        <w:rPr>
          <w:rFonts w:ascii="Bell MT" w:hAnsi="Bell MT"/>
        </w:rPr>
        <w:t xml:space="preserve"> in which ‘the revelatory moment take[s] place not in the form of a delirious literary epiphany but in the more sober setting of the ideal speech situation (Hunter, </w:t>
      </w:r>
      <w:r w:rsidR="0083408D" w:rsidRPr="007555CB">
        <w:rPr>
          <w:rFonts w:ascii="Bell MT" w:hAnsi="Bell MT"/>
        </w:rPr>
        <w:t>2006,</w:t>
      </w:r>
      <w:r w:rsidR="00EC3CC1" w:rsidRPr="007555CB">
        <w:rPr>
          <w:rFonts w:ascii="Bell MT" w:hAnsi="Bell MT"/>
        </w:rPr>
        <w:t xml:space="preserve"> p. 110).’</w:t>
      </w:r>
      <w:r w:rsidR="00DB629E" w:rsidRPr="007555CB">
        <w:rPr>
          <w:rFonts w:ascii="Bell MT" w:hAnsi="Bell MT"/>
        </w:rPr>
        <w:t xml:space="preserve"> To Habermas, true justice will appear beyond the irrational adherence to national identities and fickle association. </w:t>
      </w:r>
      <w:r w:rsidR="006E7E43" w:rsidRPr="007555CB">
        <w:rPr>
          <w:rFonts w:ascii="Bell MT" w:hAnsi="Bell MT"/>
        </w:rPr>
        <w:t>There is no lifeworld. Just as there is no original position</w:t>
      </w:r>
      <w:r w:rsidR="00CE4C95" w:rsidRPr="007555CB">
        <w:rPr>
          <w:rFonts w:ascii="Bell MT" w:hAnsi="Bell MT"/>
        </w:rPr>
        <w:t xml:space="preserve"> in the case of Rawlsian justice</w:t>
      </w:r>
      <w:r w:rsidR="006E7E43" w:rsidRPr="007555CB">
        <w:rPr>
          <w:rFonts w:ascii="Bell MT" w:hAnsi="Bell MT"/>
        </w:rPr>
        <w:t>. These are in the imagination of the philosopher. History reveals that public law is based on contingent political circumstance –– not any ideal. ‘This transformation took place, however, not as an occlusion of lifeworld norms and intuitions by the formal-positive character of law but as a result of the protracted establishment of a ne</w:t>
      </w:r>
      <w:r w:rsidR="005C6CA8">
        <w:rPr>
          <w:rFonts w:ascii="Bell MT" w:hAnsi="Bell MT"/>
        </w:rPr>
        <w:t>w norm for politics: the mainte</w:t>
      </w:r>
      <w:r w:rsidR="006E7E43" w:rsidRPr="007555CB">
        <w:rPr>
          <w:rFonts w:ascii="Bell MT" w:hAnsi="Bell MT"/>
        </w:rPr>
        <w:t>na</w:t>
      </w:r>
      <w:r w:rsidR="005C6CA8">
        <w:rPr>
          <w:rFonts w:ascii="Bell MT" w:hAnsi="Bell MT"/>
        </w:rPr>
        <w:t>n</w:t>
      </w:r>
      <w:bookmarkStart w:id="0" w:name="_GoBack"/>
      <w:bookmarkEnd w:id="0"/>
      <w:r w:rsidR="006E7E43" w:rsidRPr="007555CB">
        <w:rPr>
          <w:rFonts w:ascii="Bell MT" w:hAnsi="Bell MT"/>
        </w:rPr>
        <w:t xml:space="preserve">ce of a territorial state’s external security and internal social peace (Hunter, </w:t>
      </w:r>
      <w:r w:rsidR="0083408D" w:rsidRPr="007555CB">
        <w:rPr>
          <w:rFonts w:ascii="Bell MT" w:hAnsi="Bell MT"/>
        </w:rPr>
        <w:t>2006</w:t>
      </w:r>
      <w:r w:rsidR="006E7E43" w:rsidRPr="007555CB">
        <w:rPr>
          <w:rFonts w:ascii="Bell MT" w:hAnsi="Bell MT"/>
        </w:rPr>
        <w:t>, p. 111).’</w:t>
      </w:r>
      <w:r w:rsidR="000D107C" w:rsidRPr="007555CB">
        <w:rPr>
          <w:rFonts w:ascii="Bell MT" w:hAnsi="Bell MT"/>
        </w:rPr>
        <w:t xml:space="preserve"> Positive law distances itself from transcendent principles so that it may serve as the arbiter in a death struggle between sects whose competing claims to true transcendent principles are irreconcilable. To argue that the law should be more moral</w:t>
      </w:r>
      <w:r w:rsidR="00CA56E2" w:rsidRPr="007555CB">
        <w:rPr>
          <w:rFonts w:ascii="Bell MT" w:hAnsi="Bell MT"/>
        </w:rPr>
        <w:t xml:space="preserve"> is to open the door to the possibility that only one truth claim may prevail. </w:t>
      </w:r>
    </w:p>
    <w:p w14:paraId="5152CB33" w14:textId="09BC7A18" w:rsidR="00EC3CC1" w:rsidRPr="007555CB" w:rsidRDefault="00805E1A" w:rsidP="0098178D">
      <w:pPr>
        <w:spacing w:line="276" w:lineRule="auto"/>
        <w:ind w:firstLine="720"/>
        <w:rPr>
          <w:rFonts w:ascii="Bell MT" w:hAnsi="Bell MT"/>
        </w:rPr>
      </w:pPr>
      <w:r w:rsidRPr="007555CB">
        <w:rPr>
          <w:rFonts w:ascii="Bell MT" w:hAnsi="Bell MT"/>
        </w:rPr>
        <w:t>Today many</w:t>
      </w:r>
      <w:r w:rsidR="00CA56E2" w:rsidRPr="007555CB">
        <w:rPr>
          <w:rFonts w:ascii="Bell MT" w:hAnsi="Bell MT"/>
        </w:rPr>
        <w:t xml:space="preserve"> confuse neoliberal ideology as a truth claim. </w:t>
      </w:r>
      <w:r w:rsidR="00BC1182" w:rsidRPr="007555CB">
        <w:rPr>
          <w:rFonts w:ascii="Bell MT" w:hAnsi="Bell MT"/>
        </w:rPr>
        <w:t xml:space="preserve">To attack neoliberalism from the position of critical theory is either to coexist with the neoliberal ideologue at a distance as some aloof moral stalwart or to insist that the principles of public law should be based on a particular moral basis rather than on the basis of neutrality –– that is, one that protects one moral claim from destruction by another. Habermas argues for the ‘the political reinstatement of transcendent norms, this time in the form of the supposedly detranscendentalized metaphysics of discursive democracy (Hunter, </w:t>
      </w:r>
      <w:r w:rsidR="00A42C54" w:rsidRPr="007555CB">
        <w:rPr>
          <w:rFonts w:ascii="Bell MT" w:hAnsi="Bell MT"/>
        </w:rPr>
        <w:t>2006</w:t>
      </w:r>
      <w:r w:rsidR="00BC1182" w:rsidRPr="007555CB">
        <w:rPr>
          <w:rFonts w:ascii="Bell MT" w:hAnsi="Bell MT"/>
        </w:rPr>
        <w:t>, p. 111).’</w:t>
      </w:r>
    </w:p>
    <w:p w14:paraId="24D38A44" w14:textId="354A6368" w:rsidR="00715813" w:rsidRPr="007555CB" w:rsidRDefault="000A603B" w:rsidP="0098178D">
      <w:pPr>
        <w:spacing w:line="276" w:lineRule="auto"/>
        <w:rPr>
          <w:rFonts w:ascii="Bell MT" w:hAnsi="Bell MT"/>
          <w:b/>
        </w:rPr>
      </w:pPr>
      <w:r w:rsidRPr="007555CB">
        <w:rPr>
          <w:rFonts w:ascii="Bell MT" w:hAnsi="Bell MT"/>
        </w:rPr>
        <w:tab/>
      </w:r>
      <w:r w:rsidR="000C5709" w:rsidRPr="007555CB">
        <w:rPr>
          <w:rFonts w:ascii="Bell MT" w:hAnsi="Bell MT"/>
        </w:rPr>
        <w:t xml:space="preserve">To </w:t>
      </w:r>
      <w:r w:rsidR="00724148" w:rsidRPr="007555CB">
        <w:rPr>
          <w:rFonts w:ascii="Bell MT" w:hAnsi="Bell MT"/>
        </w:rPr>
        <w:t xml:space="preserve">theorists Michael </w:t>
      </w:r>
      <w:r w:rsidR="000C5709" w:rsidRPr="007555CB">
        <w:rPr>
          <w:rFonts w:ascii="Bell MT" w:hAnsi="Bell MT"/>
        </w:rPr>
        <w:t xml:space="preserve">Hardt and </w:t>
      </w:r>
      <w:r w:rsidR="00724148" w:rsidRPr="007555CB">
        <w:rPr>
          <w:rFonts w:ascii="Bell MT" w:hAnsi="Bell MT"/>
        </w:rPr>
        <w:t xml:space="preserve">Antonio </w:t>
      </w:r>
      <w:r w:rsidR="000C5709" w:rsidRPr="007555CB">
        <w:rPr>
          <w:rFonts w:ascii="Bell MT" w:hAnsi="Bell MT"/>
        </w:rPr>
        <w:t>Negri</w:t>
      </w:r>
      <w:r w:rsidR="00C71900" w:rsidRPr="007555CB">
        <w:rPr>
          <w:rFonts w:ascii="Bell MT" w:hAnsi="Bell MT"/>
        </w:rPr>
        <w:t xml:space="preserve"> as well as </w:t>
      </w:r>
      <w:r w:rsidR="00724148" w:rsidRPr="007555CB">
        <w:rPr>
          <w:rFonts w:ascii="Bell MT" w:hAnsi="Bell MT"/>
        </w:rPr>
        <w:t xml:space="preserve">Giorgio </w:t>
      </w:r>
      <w:r w:rsidR="00C71900" w:rsidRPr="007555CB">
        <w:rPr>
          <w:rFonts w:ascii="Bell MT" w:hAnsi="Bell MT"/>
        </w:rPr>
        <w:t>Agamben</w:t>
      </w:r>
      <w:r w:rsidR="000C5709" w:rsidRPr="007555CB">
        <w:rPr>
          <w:rFonts w:ascii="Bell MT" w:hAnsi="Bell MT"/>
        </w:rPr>
        <w:t xml:space="preserve">, Foucault’s notion of biopower is central. </w:t>
      </w:r>
      <w:r w:rsidR="0059644B" w:rsidRPr="007555CB">
        <w:rPr>
          <w:rFonts w:ascii="Bell MT" w:hAnsi="Bell MT"/>
        </w:rPr>
        <w:t xml:space="preserve">To them, biopower is the singular organizing principle of the sovereign. Yet each misreads historical nature of sovereignty and the limits of its access to available technologies of human organization. </w:t>
      </w:r>
      <w:r w:rsidR="000C5709" w:rsidRPr="007555CB">
        <w:rPr>
          <w:rFonts w:ascii="Bell MT" w:hAnsi="Bell MT"/>
        </w:rPr>
        <w:t>Hardt and Negri</w:t>
      </w:r>
      <w:r w:rsidR="0059644B" w:rsidRPr="007555CB">
        <w:rPr>
          <w:rFonts w:ascii="Bell MT" w:hAnsi="Bell MT"/>
        </w:rPr>
        <w:t xml:space="preserve">’s view </w:t>
      </w:r>
      <w:r w:rsidR="000C5709" w:rsidRPr="007555CB">
        <w:rPr>
          <w:rFonts w:ascii="Bell MT" w:hAnsi="Bell MT"/>
        </w:rPr>
        <w:t xml:space="preserve">of biopower is totalizing. </w:t>
      </w:r>
      <w:r w:rsidR="0059644B" w:rsidRPr="007555CB">
        <w:rPr>
          <w:rFonts w:ascii="Bell MT" w:hAnsi="Bell MT"/>
        </w:rPr>
        <w:t xml:space="preserve">For them the sovereign is a motor in the nebulous machine of Empire. </w:t>
      </w:r>
      <w:r w:rsidR="002160A3" w:rsidRPr="007555CB">
        <w:rPr>
          <w:rFonts w:ascii="Bell MT" w:hAnsi="Bell MT"/>
        </w:rPr>
        <w:t xml:space="preserve">Hardt and Negri come from a Deleuzian angle. </w:t>
      </w:r>
      <w:r w:rsidR="00E61772" w:rsidRPr="007555CB">
        <w:rPr>
          <w:rFonts w:ascii="Bell MT" w:hAnsi="Bell MT"/>
        </w:rPr>
        <w:t>The authors replace Marx with Deleuze and evoke St. Francis of Assisi in expressing that ‘</w:t>
      </w:r>
      <w:r w:rsidR="00E61772" w:rsidRPr="007555CB">
        <w:rPr>
          <w:rFonts w:ascii="Bell MT" w:eastAsia="Times New Roman" w:hAnsi="Bell MT" w:cs="Times New Roman"/>
          <w:lang w:val="en-AU"/>
        </w:rPr>
        <w:t>Once again in post modernity we find ourselves in Francis’</w:t>
      </w:r>
      <w:r w:rsidR="00B05B55" w:rsidRPr="007555CB">
        <w:rPr>
          <w:rFonts w:ascii="Bell MT" w:eastAsia="Times New Roman" w:hAnsi="Bell MT" w:cs="Times New Roman"/>
          <w:lang w:val="en-AU"/>
        </w:rPr>
        <w:t xml:space="preserve"> situation,</w:t>
      </w:r>
      <w:r w:rsidR="00E61772" w:rsidRPr="007555CB">
        <w:rPr>
          <w:rFonts w:ascii="Bell MT" w:eastAsia="Times New Roman" w:hAnsi="Bell MT" w:cs="Times New Roman"/>
          <w:lang w:val="en-AU"/>
        </w:rPr>
        <w:t xml:space="preserve"> posting against the mi</w:t>
      </w:r>
      <w:r w:rsidR="00B05B55" w:rsidRPr="007555CB">
        <w:rPr>
          <w:rFonts w:ascii="Bell MT" w:eastAsia="Times New Roman" w:hAnsi="Bell MT" w:cs="Times New Roman"/>
          <w:lang w:val="en-AU"/>
        </w:rPr>
        <w:t xml:space="preserve">sery of </w:t>
      </w:r>
      <w:r w:rsidR="00E61772" w:rsidRPr="007555CB">
        <w:rPr>
          <w:rFonts w:ascii="Bell MT" w:eastAsia="Times New Roman" w:hAnsi="Bell MT" w:cs="Times New Roman"/>
          <w:lang w:val="en-AU"/>
        </w:rPr>
        <w:t xml:space="preserve">power the joy of being </w:t>
      </w:r>
      <w:r w:rsidR="00B05B55" w:rsidRPr="007555CB">
        <w:rPr>
          <w:rFonts w:ascii="Bell MT" w:eastAsia="Times New Roman" w:hAnsi="Bell MT" w:cs="Times New Roman"/>
          <w:lang w:val="en-AU"/>
        </w:rPr>
        <w:t xml:space="preserve">(2000: 413).’ </w:t>
      </w:r>
      <w:r w:rsidR="00CF3DC0" w:rsidRPr="007555CB">
        <w:rPr>
          <w:rFonts w:ascii="Bell MT" w:eastAsia="Times New Roman" w:hAnsi="Bell MT" w:cs="Times New Roman"/>
          <w:lang w:val="en-AU"/>
        </w:rPr>
        <w:t>Like Derrida and Heidegger, Hardt and Negri emphasize the power of ontology as undefinable potentiality.</w:t>
      </w:r>
      <w:r w:rsidR="00B05B55" w:rsidRPr="007555CB">
        <w:rPr>
          <w:rFonts w:ascii="Bell MT" w:eastAsia="Times New Roman" w:hAnsi="Bell MT" w:cs="Times New Roman"/>
          <w:lang w:val="en-AU"/>
        </w:rPr>
        <w:t xml:space="preserve"> In Hardt and Negri’s view, it </w:t>
      </w:r>
      <w:r w:rsidR="00093D4C" w:rsidRPr="007555CB">
        <w:rPr>
          <w:rFonts w:ascii="Bell MT" w:eastAsia="Times New Roman" w:hAnsi="Bell MT" w:cs="Times New Roman"/>
          <w:lang w:val="en-AU"/>
        </w:rPr>
        <w:t xml:space="preserve">is the Empire vs. the Multitude. </w:t>
      </w:r>
      <w:r w:rsidR="005265FC" w:rsidRPr="007555CB">
        <w:rPr>
          <w:rFonts w:ascii="Bell MT" w:eastAsia="Times New Roman" w:hAnsi="Bell MT" w:cs="Times New Roman"/>
          <w:lang w:val="en-AU"/>
        </w:rPr>
        <w:t xml:space="preserve">As Rose and Rabinow note, ‘This </w:t>
      </w:r>
      <w:r w:rsidR="00BF5931" w:rsidRPr="007555CB">
        <w:rPr>
          <w:rFonts w:ascii="Bell MT" w:eastAsia="Times New Roman" w:hAnsi="Bell MT" w:cs="Times New Roman"/>
          <w:lang w:val="en-AU"/>
        </w:rPr>
        <w:t>version of the concept of “biopowe</w:t>
      </w:r>
      <w:r w:rsidR="004A6A16" w:rsidRPr="007555CB">
        <w:rPr>
          <w:rFonts w:ascii="Bell MT" w:eastAsia="Times New Roman" w:hAnsi="Bell MT" w:cs="Times New Roman"/>
          <w:lang w:val="en-AU"/>
        </w:rPr>
        <w:t>r</w:t>
      </w:r>
      <w:r w:rsidR="00BF5931" w:rsidRPr="007555CB">
        <w:rPr>
          <w:rFonts w:ascii="Bell MT" w:eastAsia="Times New Roman" w:hAnsi="Bell MT" w:cs="Times New Roman"/>
          <w:lang w:val="en-AU"/>
        </w:rPr>
        <w:t>”</w:t>
      </w:r>
      <w:r w:rsidR="005265FC" w:rsidRPr="007555CB">
        <w:rPr>
          <w:rFonts w:ascii="Bell MT" w:eastAsia="Times New Roman" w:hAnsi="Bell MT" w:cs="Times New Roman"/>
          <w:lang w:val="en-AU"/>
        </w:rPr>
        <w:t xml:space="preserve"> is emptied of its analytic force –– it can describe everything but analyze nothing</w:t>
      </w:r>
      <w:r w:rsidR="008F6660" w:rsidRPr="007555CB">
        <w:rPr>
          <w:rFonts w:ascii="Bell MT" w:eastAsia="Times New Roman" w:hAnsi="Bell MT" w:cs="Times New Roman"/>
          <w:lang w:val="en-AU"/>
        </w:rPr>
        <w:t xml:space="preserve"> (Rabinow &amp; Rose)</w:t>
      </w:r>
      <w:r w:rsidR="005265FC" w:rsidRPr="007555CB">
        <w:rPr>
          <w:rFonts w:ascii="Bell MT" w:eastAsia="Times New Roman" w:hAnsi="Bell MT" w:cs="Times New Roman"/>
          <w:lang w:val="en-AU"/>
        </w:rPr>
        <w:t xml:space="preserve">.’ </w:t>
      </w:r>
      <w:r w:rsidR="00EC6B71" w:rsidRPr="007555CB">
        <w:rPr>
          <w:rFonts w:ascii="Bell MT" w:eastAsia="Times New Roman" w:hAnsi="Bell MT" w:cs="Times New Roman"/>
          <w:lang w:val="en-AU"/>
        </w:rPr>
        <w:t>This reading of biopower is not dissimilar to Giorgio Agamben’s.</w:t>
      </w:r>
    </w:p>
    <w:p w14:paraId="626C213A" w14:textId="2F198D98" w:rsidR="00715813" w:rsidRPr="007555CB" w:rsidRDefault="00715813" w:rsidP="0098178D">
      <w:pPr>
        <w:spacing w:line="276" w:lineRule="auto"/>
        <w:rPr>
          <w:rFonts w:ascii="Bell MT" w:hAnsi="Bell MT"/>
        </w:rPr>
      </w:pPr>
      <w:r w:rsidRPr="007555CB">
        <w:rPr>
          <w:rFonts w:ascii="Bell MT" w:hAnsi="Bell MT"/>
        </w:rPr>
        <w:tab/>
      </w:r>
      <w:r w:rsidR="00992892" w:rsidRPr="007555CB">
        <w:rPr>
          <w:rFonts w:ascii="Bell MT" w:hAnsi="Bell MT"/>
        </w:rPr>
        <w:t>Agamben continues in the poststructuralist tradition forged by Heidegger and carried out by Derrida. Agamben’s mission is to redefine Foucault’s notion of biopolitics in the age of globalization. Agamben fuses thanatopolitics –– the politics of who should live and who should die –– with Carl Schmitt’s political theology</w:t>
      </w:r>
      <w:r w:rsidR="00CD4ED2" w:rsidRPr="007555CB">
        <w:rPr>
          <w:rFonts w:ascii="Bell MT" w:hAnsi="Bell MT"/>
        </w:rPr>
        <w:t xml:space="preserve"> (Agamben, 1998; Agamben, 2005)</w:t>
      </w:r>
      <w:r w:rsidR="00992892" w:rsidRPr="007555CB">
        <w:rPr>
          <w:rFonts w:ascii="Bell MT" w:hAnsi="Bell MT"/>
        </w:rPr>
        <w:t>. Following</w:t>
      </w:r>
      <w:r w:rsidRPr="007555CB">
        <w:rPr>
          <w:rFonts w:ascii="Bell MT" w:hAnsi="Bell MT"/>
        </w:rPr>
        <w:t xml:space="preserve"> Schmitt, </w:t>
      </w:r>
      <w:r w:rsidR="00992892" w:rsidRPr="007555CB">
        <w:rPr>
          <w:rFonts w:ascii="Bell MT" w:hAnsi="Bell MT"/>
        </w:rPr>
        <w:t xml:space="preserve">Agamben </w:t>
      </w:r>
      <w:r w:rsidRPr="007555CB">
        <w:rPr>
          <w:rFonts w:ascii="Bell MT" w:hAnsi="Bell MT"/>
        </w:rPr>
        <w:t>determines that sovereignty is defined by its ability to declare a state of exception.</w:t>
      </w:r>
      <w:r w:rsidR="00992892" w:rsidRPr="007555CB">
        <w:rPr>
          <w:rFonts w:ascii="Bell MT" w:hAnsi="Bell MT"/>
        </w:rPr>
        <w:t xml:space="preserve"> This exceptional state </w:t>
      </w:r>
      <w:r w:rsidR="00093D4C" w:rsidRPr="007555CB">
        <w:rPr>
          <w:rFonts w:ascii="Bell MT" w:hAnsi="Bell MT"/>
        </w:rPr>
        <w:t>allows</w:t>
      </w:r>
      <w:r w:rsidR="00992892" w:rsidRPr="007555CB">
        <w:rPr>
          <w:rFonts w:ascii="Bell MT" w:hAnsi="Bell MT"/>
        </w:rPr>
        <w:t xml:space="preserve"> the sovereign to reduce the subject to bare life, or </w:t>
      </w:r>
      <w:r w:rsidR="00992892" w:rsidRPr="007555CB">
        <w:rPr>
          <w:rFonts w:ascii="Bell MT" w:hAnsi="Bell MT"/>
          <w:i/>
        </w:rPr>
        <w:t>zoe</w:t>
      </w:r>
      <w:r w:rsidR="00992892" w:rsidRPr="007555CB">
        <w:rPr>
          <w:rFonts w:ascii="Bell MT" w:hAnsi="Bell MT"/>
        </w:rPr>
        <w:t xml:space="preserve">, </w:t>
      </w:r>
      <w:r w:rsidR="00CF3DC0" w:rsidRPr="007555CB">
        <w:rPr>
          <w:rFonts w:ascii="Bell MT" w:hAnsi="Bell MT"/>
        </w:rPr>
        <w:t>in order to freely end one’s existence.</w:t>
      </w:r>
      <w:r w:rsidRPr="007555CB">
        <w:rPr>
          <w:rFonts w:ascii="Bell MT" w:hAnsi="Bell MT"/>
        </w:rPr>
        <w:t xml:space="preserve"> </w:t>
      </w:r>
      <w:r w:rsidR="00B4609C" w:rsidRPr="007555CB">
        <w:rPr>
          <w:rFonts w:ascii="Bell MT" w:hAnsi="Bell MT"/>
        </w:rPr>
        <w:t xml:space="preserve">Agamben, like Hardt and Negri, offers a totalizing view of sovereignty. They disregard the historical circumstances in which the modern sovereign state emerged –– that is, religious civil war and the foundation of sovereignty in civil order. This order may seek technologies like biopolitical control towards its end, but biopolitics itself is not its basis. Neither view is far from Althusser’s Ideological State Apparatus. </w:t>
      </w:r>
      <w:r w:rsidR="00EC6B71" w:rsidRPr="007555CB">
        <w:rPr>
          <w:rFonts w:ascii="Bell MT" w:hAnsi="Bell MT"/>
        </w:rPr>
        <w:t xml:space="preserve">Many French thinkers such as Cornelius Castoriadis who were disullioned with Althusser and the failure of the 1968 revolution have sought Marx-inspired, but non Marxian theoretical solutions to modern problems of praxis. </w:t>
      </w:r>
    </w:p>
    <w:p w14:paraId="0A2DA2E1" w14:textId="4B63E7E5" w:rsidR="0088510D" w:rsidRPr="007555CB" w:rsidRDefault="0059644B" w:rsidP="0098178D">
      <w:pPr>
        <w:spacing w:line="276" w:lineRule="auto"/>
        <w:ind w:firstLine="720"/>
        <w:rPr>
          <w:rFonts w:ascii="Bell MT" w:hAnsi="Bell MT"/>
        </w:rPr>
      </w:pPr>
      <w:r w:rsidRPr="007555CB">
        <w:rPr>
          <w:rFonts w:ascii="Bell MT" w:hAnsi="Bell MT"/>
        </w:rPr>
        <w:t>Castoriadis’ dense meta</w:t>
      </w:r>
      <w:r w:rsidR="00924A1D" w:rsidRPr="007555CB">
        <w:rPr>
          <w:rFonts w:ascii="Bell MT" w:hAnsi="Bell MT"/>
        </w:rPr>
        <w:t>-</w:t>
      </w:r>
      <w:r w:rsidRPr="007555CB">
        <w:rPr>
          <w:rFonts w:ascii="Bell MT" w:hAnsi="Bell MT"/>
        </w:rPr>
        <w:t>philosophy has a lot to say about humanity’s radical capacity to reimagine society, yet offers little in the way of institutional configuration towards these ends</w:t>
      </w:r>
      <w:r w:rsidR="00924A1D" w:rsidRPr="007555CB">
        <w:rPr>
          <w:rFonts w:ascii="Bell MT" w:hAnsi="Bell MT"/>
        </w:rPr>
        <w:t xml:space="preserve"> (Bernstein, 1989; Castoriadis, 1987)</w:t>
      </w:r>
      <w:r w:rsidRPr="007555CB">
        <w:rPr>
          <w:rFonts w:ascii="Bell MT" w:hAnsi="Bell MT"/>
        </w:rPr>
        <w:t xml:space="preserve">. In this regard, Castoriadis echoes Dewey’s claim that democracy is the thing everyone would choose if they were free enough to be able to. </w:t>
      </w:r>
      <w:r w:rsidR="00226B79" w:rsidRPr="007555CB">
        <w:rPr>
          <w:rFonts w:ascii="Bell MT" w:hAnsi="Bell MT"/>
        </w:rPr>
        <w:t>Castoriadis is more concerned with asserting that human beings can alter the conditions of their existence than describing how. Castoriadis has developed a unique vocabulary for constructing his philosophy</w:t>
      </w:r>
      <w:r w:rsidR="00924A1D" w:rsidRPr="007555CB">
        <w:rPr>
          <w:rFonts w:ascii="Bell MT" w:hAnsi="Bell MT"/>
        </w:rPr>
        <w:t>,</w:t>
      </w:r>
      <w:r w:rsidR="00226B79" w:rsidRPr="007555CB">
        <w:rPr>
          <w:rFonts w:ascii="Bell MT" w:hAnsi="Bell MT"/>
        </w:rPr>
        <w:t xml:space="preserve"> which mixes ancient Greek political theory with </w:t>
      </w:r>
      <w:r w:rsidR="006220B9" w:rsidRPr="007555CB">
        <w:rPr>
          <w:rFonts w:ascii="Bell MT" w:hAnsi="Bell MT"/>
        </w:rPr>
        <w:t xml:space="preserve">socialism and Freudian psychoanalysis. To engage with Castoriadis’ philosophy is to embark on a project of ‘inner theatre’ not unlike that required of Heideggerian transcendentalism. </w:t>
      </w:r>
      <w:r w:rsidR="00924A1D" w:rsidRPr="007555CB">
        <w:rPr>
          <w:rFonts w:ascii="Bell MT" w:hAnsi="Bell MT"/>
        </w:rPr>
        <w:t xml:space="preserve">Castoriadis’ radical imagination is not at all distant from Husserl’s concept of </w:t>
      </w:r>
      <w:r w:rsidR="00924A1D" w:rsidRPr="007555CB">
        <w:rPr>
          <w:rFonts w:ascii="Bell MT" w:hAnsi="Bell MT"/>
          <w:i/>
        </w:rPr>
        <w:t>ephoché</w:t>
      </w:r>
      <w:r w:rsidR="00924A1D" w:rsidRPr="007555CB">
        <w:rPr>
          <w:rFonts w:ascii="Bell MT" w:hAnsi="Bell MT"/>
        </w:rPr>
        <w:t xml:space="preserve">. </w:t>
      </w:r>
      <w:r w:rsidR="006A3063" w:rsidRPr="007555CB">
        <w:rPr>
          <w:rFonts w:ascii="Bell MT" w:hAnsi="Bell MT"/>
        </w:rPr>
        <w:t>One refreshing aspect of Castoriadis’ thought is his acceptance of revolution. Unlike Dewey or Giroux who want radical change in small, rational increments, Castoriadis is aware that the application of his philosophy is not in accordance with the modern state. Rather than overlook the sovereign state’s historical existence, Castoriadis freely imagines its abolition</w:t>
      </w:r>
      <w:r w:rsidR="00924A1D" w:rsidRPr="007555CB">
        <w:rPr>
          <w:rFonts w:ascii="Bell MT" w:hAnsi="Bell MT"/>
        </w:rPr>
        <w:t xml:space="preserve"> (Castoriadis, 1997a)</w:t>
      </w:r>
      <w:r w:rsidR="006A3063" w:rsidRPr="007555CB">
        <w:rPr>
          <w:rFonts w:ascii="Bell MT" w:hAnsi="Bell MT"/>
        </w:rPr>
        <w:t xml:space="preserve">. While it may be unnecessarily destructive, it is not dishonest. </w:t>
      </w:r>
    </w:p>
    <w:p w14:paraId="67CD0023" w14:textId="5832D1E5" w:rsidR="00F8763C" w:rsidRPr="007555CB" w:rsidRDefault="003E47AE" w:rsidP="0098178D">
      <w:pPr>
        <w:spacing w:line="276" w:lineRule="auto"/>
        <w:rPr>
          <w:rFonts w:ascii="Bell MT" w:hAnsi="Bell MT"/>
        </w:rPr>
      </w:pPr>
      <w:r w:rsidRPr="007555CB">
        <w:rPr>
          <w:rFonts w:ascii="Bell MT" w:hAnsi="Bell MT"/>
        </w:rPr>
        <w:tab/>
      </w:r>
      <w:r w:rsidR="003210DB" w:rsidRPr="007555CB">
        <w:rPr>
          <w:rFonts w:ascii="Bell MT" w:hAnsi="Bell MT"/>
        </w:rPr>
        <w:t>What I have hoped to show is that utopian thinking in the realm of educational political praxis</w:t>
      </w:r>
      <w:r w:rsidR="00076D44" w:rsidRPr="007555CB">
        <w:rPr>
          <w:rFonts w:ascii="Bell MT" w:hAnsi="Bell MT"/>
        </w:rPr>
        <w:t xml:space="preserve"> is dishonest. </w:t>
      </w:r>
      <w:r w:rsidR="003210DB" w:rsidRPr="007555CB">
        <w:rPr>
          <w:rFonts w:ascii="Bell MT" w:hAnsi="Bell MT"/>
        </w:rPr>
        <w:t>Henry Giroux</w:t>
      </w:r>
      <w:r w:rsidR="00076D44" w:rsidRPr="007555CB">
        <w:rPr>
          <w:rFonts w:ascii="Bell MT" w:hAnsi="Bell MT"/>
        </w:rPr>
        <w:t xml:space="preserve"> wants dialectical, cultural studies-based emancipation through education –– but</w:t>
      </w:r>
      <w:r w:rsidR="003210DB" w:rsidRPr="007555CB">
        <w:rPr>
          <w:rFonts w:ascii="Bell MT" w:hAnsi="Bell MT"/>
        </w:rPr>
        <w:t>, like Amy Gutmann,</w:t>
      </w:r>
      <w:r w:rsidR="00076D44" w:rsidRPr="007555CB">
        <w:rPr>
          <w:rFonts w:ascii="Bell MT" w:hAnsi="Bell MT"/>
        </w:rPr>
        <w:t xml:space="preserve"> he doesn’t want students to democratically choose something racist or sexist. Students who would choose </w:t>
      </w:r>
      <w:r w:rsidR="003210DB" w:rsidRPr="007555CB">
        <w:rPr>
          <w:rFonts w:ascii="Bell MT" w:hAnsi="Bell MT"/>
        </w:rPr>
        <w:t>such courses</w:t>
      </w:r>
      <w:r w:rsidR="00076D44" w:rsidRPr="007555CB">
        <w:rPr>
          <w:rFonts w:ascii="Bell MT" w:hAnsi="Bell MT"/>
        </w:rPr>
        <w:t xml:space="preserve"> must be steered athwart towards more palatable positions –– a process that requires pastoral management. </w:t>
      </w:r>
      <w:r w:rsidR="00F8763C" w:rsidRPr="007555CB">
        <w:rPr>
          <w:rFonts w:ascii="Bell MT" w:hAnsi="Bell MT"/>
        </w:rPr>
        <w:t xml:space="preserve">Giroux’s public sphere doesn’t exist. It’s in the same imaginary bin as Habermas’ lifeworld. To strive towards this idea of unity is to proudly navigate through the cosmos with science fiction as your guide. </w:t>
      </w:r>
    </w:p>
    <w:p w14:paraId="6465F4B1" w14:textId="6A2B0DE3" w:rsidR="0070452A" w:rsidRPr="007555CB" w:rsidRDefault="0070452A" w:rsidP="0098178D">
      <w:pPr>
        <w:spacing w:line="276" w:lineRule="auto"/>
        <w:rPr>
          <w:rFonts w:ascii="Bell MT" w:hAnsi="Bell MT"/>
        </w:rPr>
      </w:pPr>
      <w:r w:rsidRPr="007555CB">
        <w:rPr>
          <w:rFonts w:ascii="Bell MT" w:hAnsi="Bell MT"/>
        </w:rPr>
        <w:tab/>
        <w:t>When theorists forsake context and contingency in favour of principle, they not only affirm their distance from politics as mere critics, but reveal that the object of their critique is misplaced: schools will never live up to the theorist</w:t>
      </w:r>
      <w:r w:rsidR="00843789" w:rsidRPr="007555CB">
        <w:rPr>
          <w:rFonts w:ascii="Bell MT" w:hAnsi="Bell MT"/>
        </w:rPr>
        <w:t>’</w:t>
      </w:r>
      <w:r w:rsidRPr="007555CB">
        <w:rPr>
          <w:rFonts w:ascii="Bell MT" w:hAnsi="Bell MT"/>
        </w:rPr>
        <w:t xml:space="preserve">s principles because schools are </w:t>
      </w:r>
      <w:r w:rsidR="00843789" w:rsidRPr="007555CB">
        <w:rPr>
          <w:rFonts w:ascii="Bell MT" w:hAnsi="Bell MT"/>
        </w:rPr>
        <w:t xml:space="preserve">not built on such principles –– only hope and rhetoric make it appear so. </w:t>
      </w:r>
      <w:r w:rsidR="002829CB" w:rsidRPr="007555CB">
        <w:rPr>
          <w:rFonts w:ascii="Bell MT" w:hAnsi="Bell MT"/>
        </w:rPr>
        <w:t>To suggest that schools ought to be built on such principles is either to ignore political reality, misjudge human nature, or to foment a revolution.</w:t>
      </w:r>
      <w:r w:rsidR="00724148" w:rsidRPr="007555CB">
        <w:rPr>
          <w:rFonts w:ascii="Bell MT" w:hAnsi="Bell MT"/>
        </w:rPr>
        <w:t xml:space="preserve"> It would seem more responsible for the </w:t>
      </w:r>
      <w:r w:rsidR="00B550DC" w:rsidRPr="007555CB">
        <w:rPr>
          <w:rFonts w:ascii="Bell MT" w:hAnsi="Bell MT"/>
        </w:rPr>
        <w:t xml:space="preserve">educational </w:t>
      </w:r>
      <w:r w:rsidR="00724148" w:rsidRPr="007555CB">
        <w:rPr>
          <w:rFonts w:ascii="Bell MT" w:hAnsi="Bell MT"/>
        </w:rPr>
        <w:t>theorist to develop a closer relationship to history and political reality so that theory may inch its way out obscurity towards praxis.</w:t>
      </w:r>
      <w:r w:rsidR="00B550DC" w:rsidRPr="007555CB">
        <w:rPr>
          <w:rFonts w:ascii="Bell MT" w:hAnsi="Bell MT"/>
        </w:rPr>
        <w:t xml:space="preserve"> Otherwise the development of schools will continue to operate in isolation from the theorist for whom </w:t>
      </w:r>
      <w:r w:rsidR="00F05F48" w:rsidRPr="007555CB">
        <w:rPr>
          <w:rFonts w:ascii="Bell MT" w:hAnsi="Bell MT"/>
        </w:rPr>
        <w:t xml:space="preserve">the school is an impenetrable concern. </w:t>
      </w:r>
      <w:r w:rsidR="00B550DC" w:rsidRPr="007555CB">
        <w:rPr>
          <w:rFonts w:ascii="Bell MT" w:hAnsi="Bell MT"/>
        </w:rPr>
        <w:t xml:space="preserve"> </w:t>
      </w:r>
    </w:p>
    <w:p w14:paraId="5CA6D5BD" w14:textId="77777777" w:rsidR="00C368D7" w:rsidRPr="007555CB" w:rsidRDefault="00C368D7" w:rsidP="002825AF">
      <w:pPr>
        <w:spacing w:line="480" w:lineRule="auto"/>
        <w:rPr>
          <w:rFonts w:ascii="Bell MT" w:hAnsi="Bell MT"/>
        </w:rPr>
      </w:pPr>
    </w:p>
    <w:p w14:paraId="3F0C9119" w14:textId="08B74EDB" w:rsidR="00C368D7" w:rsidRPr="007555CB" w:rsidRDefault="00C368D7" w:rsidP="002825AF">
      <w:pPr>
        <w:spacing w:line="480" w:lineRule="auto"/>
        <w:rPr>
          <w:rFonts w:ascii="Bell MT" w:hAnsi="Bell MT"/>
          <w:b/>
        </w:rPr>
      </w:pPr>
      <w:r w:rsidRPr="007555CB">
        <w:rPr>
          <w:rFonts w:ascii="Bell MT" w:hAnsi="Bell MT"/>
          <w:b/>
        </w:rPr>
        <w:t>References</w:t>
      </w:r>
    </w:p>
    <w:p w14:paraId="398B5142" w14:textId="36B5E94C" w:rsidR="00724148" w:rsidRPr="007555CB" w:rsidRDefault="00724148" w:rsidP="00C368D7">
      <w:pPr>
        <w:rPr>
          <w:rFonts w:ascii="Bell MT" w:hAnsi="Bell MT" w:cs="Times New Roman"/>
        </w:rPr>
      </w:pPr>
      <w:r w:rsidRPr="007555CB">
        <w:rPr>
          <w:rFonts w:ascii="Bell MT" w:hAnsi="Bell MT" w:cs="Times New Roman"/>
        </w:rPr>
        <w:t xml:space="preserve">Agamben, G. </w:t>
      </w:r>
      <w:r w:rsidR="00942ADA" w:rsidRPr="007555CB">
        <w:rPr>
          <w:rFonts w:ascii="Bell MT" w:hAnsi="Bell MT" w:cs="Times New Roman"/>
        </w:rPr>
        <w:t xml:space="preserve">(1998) </w:t>
      </w:r>
      <w:r w:rsidRPr="007555CB">
        <w:rPr>
          <w:rFonts w:ascii="Bell MT" w:hAnsi="Bell MT" w:cs="Times New Roman"/>
          <w:i/>
        </w:rPr>
        <w:t>Homo Sacer</w:t>
      </w:r>
      <w:r w:rsidR="00942ADA" w:rsidRPr="007555CB">
        <w:rPr>
          <w:rFonts w:ascii="Bell MT" w:hAnsi="Bell MT" w:cs="Times New Roman"/>
        </w:rPr>
        <w:t xml:space="preserve"> (Stanford, Stanford University Press)</w:t>
      </w:r>
      <w:r w:rsidRPr="007555CB">
        <w:rPr>
          <w:rFonts w:ascii="Bell MT" w:hAnsi="Bell MT" w:cs="Times New Roman"/>
        </w:rPr>
        <w:t>.</w:t>
      </w:r>
    </w:p>
    <w:p w14:paraId="47148EFB" w14:textId="77777777" w:rsidR="00724148" w:rsidRPr="007555CB" w:rsidRDefault="00724148" w:rsidP="00C368D7">
      <w:pPr>
        <w:rPr>
          <w:rFonts w:ascii="Bell MT" w:hAnsi="Bell MT" w:cs="Times New Roman"/>
        </w:rPr>
      </w:pPr>
    </w:p>
    <w:p w14:paraId="7ABE1AF5" w14:textId="21B40B67" w:rsidR="00724148" w:rsidRPr="007555CB" w:rsidRDefault="00724148" w:rsidP="00C368D7">
      <w:pPr>
        <w:rPr>
          <w:rFonts w:ascii="Bell MT" w:hAnsi="Bell MT" w:cs="Times New Roman"/>
        </w:rPr>
      </w:pPr>
      <w:r w:rsidRPr="007555CB">
        <w:rPr>
          <w:rFonts w:ascii="Bell MT" w:hAnsi="Bell MT" w:cs="Times New Roman"/>
        </w:rPr>
        <w:t xml:space="preserve">Agamben, G. </w:t>
      </w:r>
      <w:r w:rsidR="00942ADA" w:rsidRPr="007555CB">
        <w:rPr>
          <w:rFonts w:ascii="Bell MT" w:hAnsi="Bell MT" w:cs="Times New Roman"/>
        </w:rPr>
        <w:t xml:space="preserve">(2005) </w:t>
      </w:r>
      <w:r w:rsidRPr="007555CB">
        <w:rPr>
          <w:rFonts w:ascii="Bell MT" w:hAnsi="Bell MT" w:cs="Times New Roman"/>
          <w:i/>
        </w:rPr>
        <w:t>State of Exception</w:t>
      </w:r>
      <w:r w:rsidR="00942ADA" w:rsidRPr="007555CB">
        <w:rPr>
          <w:rFonts w:ascii="Bell MT" w:hAnsi="Bell MT" w:cs="Times New Roman"/>
        </w:rPr>
        <w:t xml:space="preserve"> (Chicago, Chicago University Press)</w:t>
      </w:r>
      <w:r w:rsidRPr="007555CB">
        <w:rPr>
          <w:rFonts w:ascii="Bell MT" w:hAnsi="Bell MT" w:cs="Times New Roman"/>
        </w:rPr>
        <w:t>.</w:t>
      </w:r>
    </w:p>
    <w:p w14:paraId="794D243F" w14:textId="77777777" w:rsidR="00724148" w:rsidRPr="007555CB" w:rsidRDefault="00724148" w:rsidP="00C368D7">
      <w:pPr>
        <w:rPr>
          <w:rFonts w:ascii="Bell MT" w:hAnsi="Bell MT" w:cs="Times New Roman"/>
        </w:rPr>
      </w:pPr>
    </w:p>
    <w:p w14:paraId="54E5BA15" w14:textId="6A1D18CB" w:rsidR="0010072C" w:rsidRPr="007555CB" w:rsidRDefault="0010072C" w:rsidP="00C368D7">
      <w:pPr>
        <w:rPr>
          <w:rFonts w:ascii="Bell MT" w:hAnsi="Bell MT" w:cs="Times New Roman"/>
        </w:rPr>
      </w:pPr>
      <w:r w:rsidRPr="007555CB">
        <w:rPr>
          <w:rFonts w:ascii="Bell MT" w:hAnsi="Bell MT" w:cs="Times New Roman"/>
        </w:rPr>
        <w:t xml:space="preserve">Anderson, J.D. (1988) </w:t>
      </w:r>
      <w:r w:rsidRPr="007555CB">
        <w:rPr>
          <w:rFonts w:ascii="Bell MT" w:hAnsi="Bell MT" w:cs="Times New Roman"/>
          <w:i/>
        </w:rPr>
        <w:t>The Education of Blacks in the South, 1860-1935</w:t>
      </w:r>
      <w:r w:rsidRPr="007555CB">
        <w:rPr>
          <w:rFonts w:ascii="Bell MT" w:hAnsi="Bell MT" w:cs="Times New Roman"/>
        </w:rPr>
        <w:t xml:space="preserve"> (Chapel Hill, </w:t>
      </w:r>
    </w:p>
    <w:p w14:paraId="4D42C093" w14:textId="77777777" w:rsidR="0010072C" w:rsidRPr="007555CB" w:rsidRDefault="0010072C" w:rsidP="0010072C">
      <w:pPr>
        <w:rPr>
          <w:rFonts w:ascii="Bell MT" w:hAnsi="Bell MT" w:cs="Times New Roman"/>
        </w:rPr>
      </w:pPr>
      <w:r w:rsidRPr="007555CB">
        <w:rPr>
          <w:rFonts w:ascii="Bell MT" w:hAnsi="Bell MT" w:cs="Times New Roman"/>
        </w:rPr>
        <w:tab/>
        <w:t>University of North Carolina Press).</w:t>
      </w:r>
    </w:p>
    <w:p w14:paraId="684BFC52" w14:textId="77777777" w:rsidR="00B419F1" w:rsidRPr="007555CB" w:rsidRDefault="00B419F1" w:rsidP="0010072C">
      <w:pPr>
        <w:rPr>
          <w:rFonts w:ascii="Bell MT" w:hAnsi="Bell MT" w:cs="Times New Roman"/>
        </w:rPr>
      </w:pPr>
    </w:p>
    <w:p w14:paraId="461BCF8C" w14:textId="274511E9" w:rsidR="00B419F1" w:rsidRPr="007555CB" w:rsidRDefault="00B419F1" w:rsidP="0010072C">
      <w:pPr>
        <w:rPr>
          <w:rFonts w:ascii="Bell MT" w:eastAsia="Times New Roman" w:hAnsi="Bell MT" w:cs="Times New Roman"/>
          <w:i/>
        </w:rPr>
      </w:pPr>
      <w:r w:rsidRPr="007555CB">
        <w:rPr>
          <w:rFonts w:ascii="Bell MT" w:hAnsi="Bell MT" w:cs="Times New Roman"/>
        </w:rPr>
        <w:t xml:space="preserve">Bernstein, J.M. (1989) </w:t>
      </w:r>
      <w:r w:rsidRPr="007555CB">
        <w:rPr>
          <w:rFonts w:ascii="Bell MT" w:eastAsia="Times New Roman" w:hAnsi="Bell MT" w:cs="Times New Roman"/>
        </w:rPr>
        <w:t xml:space="preserve">Praxis and Aporia Habermas' Critique of Castoriadis, </w:t>
      </w:r>
      <w:r w:rsidRPr="007555CB">
        <w:rPr>
          <w:rFonts w:ascii="Bell MT" w:eastAsia="Times New Roman" w:hAnsi="Bell MT" w:cs="Times New Roman"/>
          <w:i/>
        </w:rPr>
        <w:t xml:space="preserve">Revue </w:t>
      </w:r>
    </w:p>
    <w:p w14:paraId="1FCCDFF4" w14:textId="672DE8D1" w:rsidR="00B419F1" w:rsidRPr="007555CB" w:rsidRDefault="00B419F1" w:rsidP="0010072C">
      <w:pPr>
        <w:rPr>
          <w:rFonts w:ascii="Bell MT" w:hAnsi="Bell MT" w:cs="Times New Roman"/>
        </w:rPr>
      </w:pPr>
      <w:r w:rsidRPr="007555CB">
        <w:rPr>
          <w:rFonts w:ascii="Bell MT" w:eastAsia="Times New Roman" w:hAnsi="Bell MT" w:cs="Times New Roman"/>
          <w:i/>
        </w:rPr>
        <w:tab/>
        <w:t>européenne des sciences sociales</w:t>
      </w:r>
      <w:r w:rsidRPr="007555CB">
        <w:rPr>
          <w:rFonts w:ascii="Bell MT" w:eastAsia="Times New Roman" w:hAnsi="Bell MT" w:cs="Times New Roman"/>
        </w:rPr>
        <w:t>, 27:86, pp. 111-23.</w:t>
      </w:r>
    </w:p>
    <w:p w14:paraId="5B1DB3D2" w14:textId="77777777" w:rsidR="0010072C" w:rsidRPr="007555CB" w:rsidRDefault="0010072C" w:rsidP="00C368D7">
      <w:pPr>
        <w:rPr>
          <w:rFonts w:ascii="Bell MT" w:hAnsi="Bell MT" w:cs="Times New Roman"/>
        </w:rPr>
      </w:pPr>
    </w:p>
    <w:p w14:paraId="5E367A75" w14:textId="0C20A319" w:rsidR="00C368D7" w:rsidRPr="007555CB" w:rsidRDefault="00C368D7" w:rsidP="00C368D7">
      <w:pPr>
        <w:rPr>
          <w:rFonts w:ascii="Bell MT" w:hAnsi="Bell MT" w:cs="Times New Roman"/>
        </w:rPr>
      </w:pPr>
      <w:r w:rsidRPr="007555CB">
        <w:rPr>
          <w:rFonts w:ascii="Bell MT" w:hAnsi="Bell MT" w:cs="Times New Roman"/>
        </w:rPr>
        <w:t xml:space="preserve">Castoriadis, C. (1987) </w:t>
      </w:r>
      <w:r w:rsidRPr="007555CB">
        <w:rPr>
          <w:rFonts w:ascii="Bell MT" w:hAnsi="Bell MT" w:cs="Times New Roman"/>
          <w:i/>
        </w:rPr>
        <w:t>The Imaginary Institution of Society</w:t>
      </w:r>
      <w:r w:rsidRPr="007555CB">
        <w:rPr>
          <w:rFonts w:ascii="Bell MT" w:hAnsi="Bell MT" w:cs="Times New Roman"/>
        </w:rPr>
        <w:t xml:space="preserve"> (Oxford, Polity).</w:t>
      </w:r>
    </w:p>
    <w:p w14:paraId="6B04B624" w14:textId="77777777" w:rsidR="00C368D7" w:rsidRPr="007555CB" w:rsidRDefault="00C368D7" w:rsidP="00C368D7">
      <w:pPr>
        <w:rPr>
          <w:rFonts w:ascii="Bell MT" w:hAnsi="Bell MT" w:cs="Times New Roman"/>
        </w:rPr>
      </w:pPr>
    </w:p>
    <w:p w14:paraId="2ECC628A" w14:textId="494F078C" w:rsidR="00C368D7" w:rsidRPr="007555CB" w:rsidRDefault="00C368D7" w:rsidP="00C368D7">
      <w:pPr>
        <w:rPr>
          <w:rFonts w:ascii="Bell MT" w:hAnsi="Bell MT" w:cs="Times New Roman"/>
        </w:rPr>
      </w:pPr>
      <w:r w:rsidRPr="007555CB">
        <w:rPr>
          <w:rFonts w:ascii="Bell MT" w:hAnsi="Bell MT" w:cs="Times New Roman"/>
        </w:rPr>
        <w:t xml:space="preserve">Castoriadis, C. (1991) </w:t>
      </w:r>
      <w:r w:rsidRPr="007555CB">
        <w:rPr>
          <w:rFonts w:ascii="Bell MT" w:hAnsi="Bell MT" w:cs="Times New Roman"/>
          <w:i/>
        </w:rPr>
        <w:t>Philosophy, Politics, Autonomy</w:t>
      </w:r>
      <w:r w:rsidRPr="007555CB">
        <w:rPr>
          <w:rFonts w:ascii="Bell MT" w:hAnsi="Bell MT" w:cs="Times New Roman"/>
        </w:rPr>
        <w:t xml:space="preserve"> (Oxford, Oxford University </w:t>
      </w:r>
    </w:p>
    <w:p w14:paraId="77E169E3" w14:textId="546518B2" w:rsidR="0008609B" w:rsidRPr="007555CB" w:rsidRDefault="0008609B" w:rsidP="00C368D7">
      <w:pPr>
        <w:rPr>
          <w:rFonts w:ascii="Bell MT" w:hAnsi="Bell MT" w:cs="Times New Roman"/>
        </w:rPr>
      </w:pPr>
      <w:r w:rsidRPr="007555CB">
        <w:rPr>
          <w:rFonts w:ascii="Bell MT" w:hAnsi="Bell MT" w:cs="Times New Roman"/>
        </w:rPr>
        <w:tab/>
        <w:t>Press).</w:t>
      </w:r>
    </w:p>
    <w:p w14:paraId="71ED0B7E" w14:textId="77777777" w:rsidR="00C368D7" w:rsidRPr="007555CB" w:rsidRDefault="00C368D7" w:rsidP="00C368D7">
      <w:pPr>
        <w:rPr>
          <w:rFonts w:ascii="Bell MT" w:hAnsi="Bell MT" w:cs="Times New Roman"/>
        </w:rPr>
      </w:pPr>
    </w:p>
    <w:p w14:paraId="565BF754" w14:textId="68D15194" w:rsidR="00C368D7" w:rsidRPr="007555CB" w:rsidRDefault="00C368D7" w:rsidP="00C368D7">
      <w:pPr>
        <w:rPr>
          <w:rStyle w:val="exlresultdetails"/>
          <w:rFonts w:ascii="Bell MT" w:eastAsia="Times New Roman" w:hAnsi="Bell MT" w:cs="Times New Roman"/>
        </w:rPr>
      </w:pPr>
      <w:r w:rsidRPr="007555CB">
        <w:rPr>
          <w:rFonts w:ascii="Bell MT" w:hAnsi="Bell MT" w:cs="Times New Roman"/>
        </w:rPr>
        <w:softHyphen/>
      </w:r>
      <w:r w:rsidRPr="007555CB">
        <w:rPr>
          <w:rFonts w:ascii="Bell MT" w:hAnsi="Bell MT" w:cs="Times New Roman"/>
        </w:rPr>
        <w:softHyphen/>
        <w:t xml:space="preserve">Castoriadis, C. (1993) The Greek and Modern Political Imaginary, </w:t>
      </w:r>
      <w:r w:rsidRPr="007555CB">
        <w:rPr>
          <w:rStyle w:val="exlresultdetails"/>
          <w:rFonts w:ascii="Bell MT" w:eastAsia="Times New Roman" w:hAnsi="Bell MT" w:cs="Times New Roman"/>
          <w:i/>
        </w:rPr>
        <w:t>Salmagundi</w:t>
      </w:r>
      <w:r w:rsidRPr="007555CB">
        <w:rPr>
          <w:rStyle w:val="exlresultdetails"/>
          <w:rFonts w:ascii="Bell MT" w:eastAsia="Times New Roman" w:hAnsi="Bell MT" w:cs="Times New Roman"/>
        </w:rPr>
        <w:t xml:space="preserve">, </w:t>
      </w:r>
    </w:p>
    <w:p w14:paraId="413388B0" w14:textId="7CAD6444" w:rsidR="00DE4ADC" w:rsidRPr="007555CB" w:rsidRDefault="00DE4ADC" w:rsidP="00C368D7">
      <w:pPr>
        <w:rPr>
          <w:rFonts w:ascii="Bell MT" w:eastAsia="Times New Roman" w:hAnsi="Bell MT" w:cs="Times New Roman"/>
        </w:rPr>
      </w:pPr>
      <w:r w:rsidRPr="007555CB">
        <w:rPr>
          <w:rStyle w:val="exlresultdetails"/>
          <w:rFonts w:ascii="Bell MT" w:eastAsia="Times New Roman" w:hAnsi="Bell MT" w:cs="Times New Roman"/>
        </w:rPr>
        <w:tab/>
        <w:t>100:28, pp.102-129.</w:t>
      </w:r>
    </w:p>
    <w:p w14:paraId="212C3061" w14:textId="77777777" w:rsidR="00C368D7" w:rsidRPr="007555CB" w:rsidRDefault="00C368D7" w:rsidP="00C368D7">
      <w:pPr>
        <w:rPr>
          <w:rFonts w:ascii="Bell MT" w:hAnsi="Bell MT" w:cs="Times New Roman"/>
        </w:rPr>
      </w:pPr>
    </w:p>
    <w:p w14:paraId="3748AB11" w14:textId="77777777" w:rsidR="00C368D7" w:rsidRPr="007555CB" w:rsidRDefault="00C368D7" w:rsidP="00C368D7">
      <w:pPr>
        <w:rPr>
          <w:rFonts w:ascii="Bell MT" w:hAnsi="Bell MT" w:cs="Times New Roman"/>
        </w:rPr>
      </w:pPr>
      <w:r w:rsidRPr="007555CB">
        <w:rPr>
          <w:rFonts w:ascii="Bell MT" w:hAnsi="Bell MT" w:cs="Times New Roman"/>
        </w:rPr>
        <w:t xml:space="preserve">Castoriadis, C. (1997a) </w:t>
      </w:r>
      <w:r w:rsidRPr="007555CB">
        <w:rPr>
          <w:rFonts w:ascii="Bell MT" w:hAnsi="Bell MT" w:cs="Times New Roman"/>
          <w:i/>
        </w:rPr>
        <w:t>World in Fragments</w:t>
      </w:r>
      <w:r w:rsidRPr="007555CB">
        <w:rPr>
          <w:rFonts w:ascii="Bell MT" w:hAnsi="Bell MT" w:cs="Times New Roman"/>
        </w:rPr>
        <w:t xml:space="preserve"> (Stanford, Stanford University Press).</w:t>
      </w:r>
    </w:p>
    <w:p w14:paraId="79D77CFF" w14:textId="77777777" w:rsidR="00C368D7" w:rsidRPr="007555CB" w:rsidRDefault="00C368D7" w:rsidP="00C368D7">
      <w:pPr>
        <w:rPr>
          <w:rFonts w:ascii="Bell MT" w:hAnsi="Bell MT" w:cs="Times New Roman"/>
        </w:rPr>
      </w:pPr>
    </w:p>
    <w:p w14:paraId="5AE329F6" w14:textId="77777777" w:rsidR="00C368D7" w:rsidRPr="007555CB" w:rsidRDefault="00C368D7" w:rsidP="00C368D7">
      <w:pPr>
        <w:rPr>
          <w:rFonts w:ascii="Bell MT" w:hAnsi="Bell MT" w:cs="Times New Roman"/>
        </w:rPr>
      </w:pPr>
      <w:r w:rsidRPr="007555CB">
        <w:rPr>
          <w:rFonts w:ascii="Bell MT" w:hAnsi="Bell MT" w:cs="Times New Roman"/>
        </w:rPr>
        <w:t xml:space="preserve">Castoriadis, C. (1997b) Democracy as Procedure and Democracy as a Regime, </w:t>
      </w:r>
    </w:p>
    <w:p w14:paraId="6027495E" w14:textId="69834EDE" w:rsidR="00C368D7" w:rsidRPr="007555CB" w:rsidRDefault="00C368D7" w:rsidP="00571CD7">
      <w:pPr>
        <w:rPr>
          <w:rFonts w:ascii="Bell MT" w:hAnsi="Bell MT" w:cs="Times New Roman"/>
        </w:rPr>
      </w:pPr>
      <w:r w:rsidRPr="007555CB">
        <w:rPr>
          <w:rFonts w:ascii="Bell MT" w:hAnsi="Bell MT" w:cs="Times New Roman"/>
        </w:rPr>
        <w:t xml:space="preserve">    </w:t>
      </w:r>
      <w:r w:rsidRPr="007555CB">
        <w:rPr>
          <w:rFonts w:ascii="Bell MT" w:hAnsi="Bell MT" w:cs="Times New Roman"/>
          <w:i/>
        </w:rPr>
        <w:t>Constellations</w:t>
      </w:r>
      <w:r w:rsidRPr="007555CB">
        <w:rPr>
          <w:rFonts w:ascii="Bell MT" w:hAnsi="Bell MT" w:cs="Times New Roman"/>
        </w:rPr>
        <w:t xml:space="preserve"> 4:1, pp.</w:t>
      </w:r>
      <w:r w:rsidR="00571CD7" w:rsidRPr="007555CB">
        <w:rPr>
          <w:rFonts w:ascii="Bell MT" w:hAnsi="Bell MT" w:cs="Times New Roman"/>
        </w:rPr>
        <w:t xml:space="preserve"> 1-18.</w:t>
      </w:r>
    </w:p>
    <w:p w14:paraId="35B04A60" w14:textId="77777777" w:rsidR="001C5D80" w:rsidRPr="007555CB" w:rsidRDefault="001C5D80" w:rsidP="00571CD7">
      <w:pPr>
        <w:rPr>
          <w:rFonts w:ascii="Bell MT" w:hAnsi="Bell MT" w:cs="Times New Roman"/>
        </w:rPr>
      </w:pPr>
    </w:p>
    <w:p w14:paraId="4722089C" w14:textId="4AB0BFD0" w:rsidR="001C5D80" w:rsidRPr="007555CB" w:rsidRDefault="001C5D80" w:rsidP="00571CD7">
      <w:pPr>
        <w:rPr>
          <w:rFonts w:ascii="Bell MT" w:hAnsi="Bell MT" w:cs="Times New Roman"/>
        </w:rPr>
      </w:pPr>
      <w:r w:rsidRPr="007555CB">
        <w:rPr>
          <w:rFonts w:ascii="Bell MT" w:hAnsi="Bell MT" w:cs="Times New Roman"/>
        </w:rPr>
        <w:t xml:space="preserve">Clark, J.C.D. (2000) </w:t>
      </w:r>
      <w:r w:rsidRPr="007555CB">
        <w:rPr>
          <w:rFonts w:ascii="Bell MT" w:hAnsi="Bell MT" w:cs="Times New Roman"/>
          <w:i/>
        </w:rPr>
        <w:t>English Society 1660-1832</w:t>
      </w:r>
      <w:r w:rsidRPr="007555CB">
        <w:rPr>
          <w:rFonts w:ascii="Bell MT" w:hAnsi="Bell MT" w:cs="Times New Roman"/>
        </w:rPr>
        <w:t xml:space="preserve"> (Cambridge, Cambridge University</w:t>
      </w:r>
    </w:p>
    <w:p w14:paraId="7FB12A4D" w14:textId="79BB6181" w:rsidR="001C5D80" w:rsidRPr="007555CB" w:rsidRDefault="001C5D80" w:rsidP="00571CD7">
      <w:pPr>
        <w:rPr>
          <w:rFonts w:ascii="Bell MT" w:hAnsi="Bell MT" w:cs="Times New Roman"/>
        </w:rPr>
      </w:pPr>
      <w:r w:rsidRPr="007555CB">
        <w:rPr>
          <w:rFonts w:ascii="Bell MT" w:hAnsi="Bell MT" w:cs="Times New Roman"/>
        </w:rPr>
        <w:tab/>
        <w:t>Press).</w:t>
      </w:r>
    </w:p>
    <w:p w14:paraId="6093849F" w14:textId="77777777" w:rsidR="008C591C" w:rsidRPr="007555CB" w:rsidRDefault="008C591C" w:rsidP="00571CD7">
      <w:pPr>
        <w:rPr>
          <w:rFonts w:ascii="Bell MT" w:hAnsi="Bell MT" w:cs="Times New Roman"/>
        </w:rPr>
      </w:pPr>
    </w:p>
    <w:p w14:paraId="5E64D871" w14:textId="1AA0CDA1" w:rsidR="000C2E96" w:rsidRPr="007555CB" w:rsidRDefault="000C2E96" w:rsidP="00571CD7">
      <w:pPr>
        <w:rPr>
          <w:rFonts w:ascii="Bell MT" w:hAnsi="Bell MT" w:cs="Times New Roman"/>
        </w:rPr>
      </w:pPr>
      <w:r w:rsidRPr="007555CB">
        <w:rPr>
          <w:rFonts w:ascii="Bell MT" w:hAnsi="Bell MT" w:cs="Times New Roman"/>
        </w:rPr>
        <w:t xml:space="preserve">Derrida, J. (1978) </w:t>
      </w:r>
      <w:r w:rsidRPr="007555CB">
        <w:rPr>
          <w:rFonts w:ascii="Bell MT" w:hAnsi="Bell MT" w:cs="Times New Roman"/>
          <w:i/>
        </w:rPr>
        <w:t>Writing and Difference</w:t>
      </w:r>
      <w:r w:rsidRPr="007555CB">
        <w:rPr>
          <w:rFonts w:ascii="Bell MT" w:hAnsi="Bell MT" w:cs="Times New Roman"/>
        </w:rPr>
        <w:t xml:space="preserve"> (Chicago, University of Chicago Press). </w:t>
      </w:r>
    </w:p>
    <w:p w14:paraId="5DD04981" w14:textId="77777777" w:rsidR="000C2E96" w:rsidRPr="007555CB" w:rsidRDefault="000C2E96" w:rsidP="00571CD7">
      <w:pPr>
        <w:rPr>
          <w:rFonts w:ascii="Bell MT" w:hAnsi="Bell MT" w:cs="Times New Roman"/>
        </w:rPr>
      </w:pPr>
    </w:p>
    <w:p w14:paraId="1653A1AE" w14:textId="075B0581" w:rsidR="008C591C" w:rsidRPr="007555CB" w:rsidRDefault="008C591C" w:rsidP="00571CD7">
      <w:pPr>
        <w:rPr>
          <w:rFonts w:ascii="Bell MT" w:hAnsi="Bell MT"/>
        </w:rPr>
      </w:pPr>
      <w:r w:rsidRPr="007555CB">
        <w:rPr>
          <w:rFonts w:ascii="Bell MT" w:eastAsia="Times New Roman" w:hAnsi="Bell MT" w:cs="Times New Roman"/>
        </w:rPr>
        <w:t xml:space="preserve">Dewey, John (1916). </w:t>
      </w:r>
      <w:r w:rsidRPr="007555CB">
        <w:rPr>
          <w:rFonts w:ascii="Bell MT" w:eastAsia="Times New Roman" w:hAnsi="Bell MT" w:cs="Times New Roman"/>
          <w:i/>
        </w:rPr>
        <w:t>Democracy and Education</w:t>
      </w:r>
      <w:r w:rsidR="00F54D94" w:rsidRPr="007555CB">
        <w:rPr>
          <w:rFonts w:ascii="Bell MT" w:eastAsia="Times New Roman" w:hAnsi="Bell MT" w:cs="Times New Roman"/>
        </w:rPr>
        <w:t xml:space="preserve"> (New York, MacMillan).</w:t>
      </w:r>
    </w:p>
    <w:p w14:paraId="6D757FB9" w14:textId="77777777" w:rsidR="00571CD7" w:rsidRPr="007555CB" w:rsidRDefault="00571CD7" w:rsidP="00571CD7">
      <w:pPr>
        <w:rPr>
          <w:rFonts w:ascii="Bell MT" w:hAnsi="Bell MT" w:cs="Times New Roman"/>
        </w:rPr>
      </w:pPr>
    </w:p>
    <w:p w14:paraId="565228E1" w14:textId="565F25FF" w:rsidR="00847C88" w:rsidRPr="007555CB" w:rsidRDefault="00847C88" w:rsidP="00847C88">
      <w:pPr>
        <w:rPr>
          <w:rFonts w:ascii="Bell MT" w:hAnsi="Bell MT"/>
        </w:rPr>
      </w:pPr>
      <w:r w:rsidRPr="007555CB">
        <w:rPr>
          <w:rFonts w:ascii="Bell MT" w:eastAsia="Times New Roman" w:hAnsi="Bell MT" w:cs="Times New Roman"/>
        </w:rPr>
        <w:t xml:space="preserve">Dewey, John (1954). </w:t>
      </w:r>
      <w:r w:rsidRPr="007555CB">
        <w:rPr>
          <w:rFonts w:ascii="Bell MT" w:eastAsia="Times New Roman" w:hAnsi="Bell MT" w:cs="Times New Roman"/>
          <w:i/>
        </w:rPr>
        <w:t>The Public and Its Problems.</w:t>
      </w:r>
      <w:r w:rsidRPr="007555CB">
        <w:rPr>
          <w:rFonts w:ascii="Bell MT" w:eastAsia="Times New Roman" w:hAnsi="Bell MT" w:cs="Times New Roman"/>
        </w:rPr>
        <w:t xml:space="preserve"> (Ohio, Swallow Press).</w:t>
      </w:r>
    </w:p>
    <w:p w14:paraId="2DD8195F" w14:textId="77777777" w:rsidR="00847C88" w:rsidRPr="007555CB" w:rsidRDefault="00847C88" w:rsidP="00571CD7">
      <w:pPr>
        <w:rPr>
          <w:rFonts w:ascii="Bell MT" w:hAnsi="Bell MT" w:cs="Times New Roman"/>
        </w:rPr>
      </w:pPr>
    </w:p>
    <w:p w14:paraId="4FB1DDAF" w14:textId="5557D373" w:rsidR="00571CD7" w:rsidRPr="007555CB" w:rsidRDefault="00571CD7" w:rsidP="00571CD7">
      <w:pPr>
        <w:rPr>
          <w:rFonts w:ascii="Bell MT" w:hAnsi="Bell MT" w:cs="Times New Roman"/>
          <w:i/>
        </w:rPr>
      </w:pPr>
      <w:r w:rsidRPr="007555CB">
        <w:rPr>
          <w:rFonts w:ascii="Bell MT" w:hAnsi="Bell MT" w:cs="Times New Roman"/>
        </w:rPr>
        <w:t xml:space="preserve">Giroux, H. (2003) Utopian Thinking Under the Sign of Neoliberalism, </w:t>
      </w:r>
      <w:r w:rsidRPr="007555CB">
        <w:rPr>
          <w:rFonts w:ascii="Bell MT" w:hAnsi="Bell MT" w:cs="Times New Roman"/>
          <w:i/>
        </w:rPr>
        <w:t xml:space="preserve">Democracy &amp; </w:t>
      </w:r>
    </w:p>
    <w:p w14:paraId="2557C2D6" w14:textId="7EAE9FDA" w:rsidR="00571CD7" w:rsidRPr="007555CB" w:rsidRDefault="00571CD7" w:rsidP="00571CD7">
      <w:pPr>
        <w:rPr>
          <w:rFonts w:ascii="Bell MT" w:hAnsi="Bell MT" w:cs="Times New Roman"/>
        </w:rPr>
      </w:pPr>
      <w:r w:rsidRPr="007555CB">
        <w:rPr>
          <w:rFonts w:ascii="Bell MT" w:hAnsi="Bell MT" w:cs="Times New Roman"/>
          <w:i/>
        </w:rPr>
        <w:tab/>
        <w:t>Nature</w:t>
      </w:r>
      <w:r w:rsidRPr="007555CB">
        <w:rPr>
          <w:rFonts w:ascii="Bell MT" w:hAnsi="Bell MT" w:cs="Times New Roman"/>
        </w:rPr>
        <w:t>, 9:1, pp. 91-105.</w:t>
      </w:r>
    </w:p>
    <w:p w14:paraId="5C2A9706" w14:textId="77777777" w:rsidR="00F54D94" w:rsidRPr="007555CB" w:rsidRDefault="00F54D94" w:rsidP="00571CD7">
      <w:pPr>
        <w:rPr>
          <w:rFonts w:ascii="Bell MT" w:hAnsi="Bell MT" w:cs="Times New Roman"/>
        </w:rPr>
      </w:pPr>
    </w:p>
    <w:p w14:paraId="68F09912" w14:textId="6C3FA2D3" w:rsidR="00F54D94" w:rsidRPr="007555CB" w:rsidRDefault="00F54D94" w:rsidP="00571CD7">
      <w:pPr>
        <w:rPr>
          <w:rFonts w:ascii="Bell MT" w:hAnsi="Bell MT" w:cs="Times New Roman"/>
          <w:i/>
        </w:rPr>
      </w:pPr>
      <w:r w:rsidRPr="007555CB">
        <w:rPr>
          <w:rFonts w:ascii="Bell MT" w:hAnsi="Bell MT" w:cs="Times New Roman"/>
        </w:rPr>
        <w:t xml:space="preserve">Gorski, P. (2003) </w:t>
      </w:r>
      <w:r w:rsidRPr="007555CB">
        <w:rPr>
          <w:rFonts w:ascii="Bell MT" w:hAnsi="Bell MT" w:cs="Times New Roman"/>
          <w:i/>
        </w:rPr>
        <w:t xml:space="preserve">The Disciplinary Revolution: Calvinism and the Rise of the State in </w:t>
      </w:r>
    </w:p>
    <w:p w14:paraId="45801DF9" w14:textId="77777777" w:rsidR="00F54D94" w:rsidRPr="007555CB" w:rsidRDefault="00F54D94" w:rsidP="00F54D94">
      <w:pPr>
        <w:rPr>
          <w:rFonts w:ascii="Bell MT" w:hAnsi="Bell MT" w:cs="Times New Roman"/>
        </w:rPr>
      </w:pPr>
      <w:r w:rsidRPr="007555CB">
        <w:rPr>
          <w:rFonts w:ascii="Bell MT" w:hAnsi="Bell MT" w:cs="Times New Roman"/>
          <w:i/>
        </w:rPr>
        <w:tab/>
        <w:t xml:space="preserve">Early Modern Europe </w:t>
      </w:r>
      <w:r w:rsidRPr="007555CB">
        <w:rPr>
          <w:rFonts w:ascii="Bell MT" w:hAnsi="Bell MT" w:cs="Times New Roman"/>
        </w:rPr>
        <w:t>(Chicago, University of Chicago Press).</w:t>
      </w:r>
    </w:p>
    <w:p w14:paraId="651A387D" w14:textId="77777777" w:rsidR="00CC4980" w:rsidRPr="007555CB" w:rsidRDefault="00CC4980" w:rsidP="00F54D94">
      <w:pPr>
        <w:rPr>
          <w:rFonts w:ascii="Bell MT" w:hAnsi="Bell MT" w:cs="Times New Roman"/>
        </w:rPr>
      </w:pPr>
    </w:p>
    <w:p w14:paraId="52C4282A" w14:textId="4A45A348" w:rsidR="00924A1D" w:rsidRPr="007555CB" w:rsidRDefault="00924A1D" w:rsidP="00F54D94">
      <w:pPr>
        <w:rPr>
          <w:rFonts w:ascii="Bell MT" w:hAnsi="Bell MT" w:cs="Times New Roman"/>
        </w:rPr>
      </w:pPr>
      <w:r w:rsidRPr="007555CB">
        <w:rPr>
          <w:rFonts w:ascii="Bell MT" w:hAnsi="Bell MT" w:cs="Times New Roman"/>
        </w:rPr>
        <w:t xml:space="preserve">Habermas, J. (1981) </w:t>
      </w:r>
      <w:r w:rsidRPr="007555CB">
        <w:rPr>
          <w:rFonts w:ascii="Bell MT" w:hAnsi="Bell MT" w:cs="Times New Roman"/>
          <w:i/>
        </w:rPr>
        <w:t>The Theory of Communicative Action</w:t>
      </w:r>
      <w:r w:rsidRPr="007555CB">
        <w:rPr>
          <w:rFonts w:ascii="Bell MT" w:hAnsi="Bell MT" w:cs="Times New Roman"/>
        </w:rPr>
        <w:t xml:space="preserve"> (Boston).</w:t>
      </w:r>
    </w:p>
    <w:p w14:paraId="6C95DAB1" w14:textId="77777777" w:rsidR="00924A1D" w:rsidRPr="007555CB" w:rsidRDefault="00924A1D" w:rsidP="00F54D94">
      <w:pPr>
        <w:rPr>
          <w:rFonts w:ascii="Bell MT" w:hAnsi="Bell MT" w:cs="Times New Roman"/>
        </w:rPr>
      </w:pPr>
    </w:p>
    <w:p w14:paraId="4D7D08B6" w14:textId="20B68271" w:rsidR="00B41A88" w:rsidRPr="007555CB" w:rsidRDefault="00B41A88" w:rsidP="00F54D94">
      <w:pPr>
        <w:rPr>
          <w:rFonts w:ascii="Bell MT" w:hAnsi="Bell MT" w:cs="Times New Roman"/>
          <w:i/>
        </w:rPr>
      </w:pPr>
      <w:r w:rsidRPr="007555CB">
        <w:rPr>
          <w:rFonts w:ascii="Bell MT" w:hAnsi="Bell MT" w:cs="Times New Roman"/>
        </w:rPr>
        <w:t>Habermas, J.</w:t>
      </w:r>
      <w:r w:rsidR="00930CFE" w:rsidRPr="007555CB">
        <w:rPr>
          <w:rFonts w:ascii="Bell MT" w:hAnsi="Bell MT" w:cs="Times New Roman"/>
        </w:rPr>
        <w:t xml:space="preserve"> (1987) </w:t>
      </w:r>
      <w:r w:rsidR="00930CFE" w:rsidRPr="007555CB">
        <w:rPr>
          <w:rFonts w:ascii="Bell MT" w:hAnsi="Bell MT" w:cs="Times New Roman"/>
          <w:i/>
        </w:rPr>
        <w:t xml:space="preserve">The Philosophical Discourse of Modernity: Twelve Lectures </w:t>
      </w:r>
    </w:p>
    <w:p w14:paraId="14B6FE52" w14:textId="0BFCEA90" w:rsidR="00930CFE" w:rsidRPr="007555CB" w:rsidRDefault="00930CFE" w:rsidP="00F54D94">
      <w:pPr>
        <w:rPr>
          <w:rFonts w:ascii="Bell MT" w:hAnsi="Bell MT" w:cs="Times New Roman"/>
        </w:rPr>
      </w:pPr>
      <w:r w:rsidRPr="007555CB">
        <w:rPr>
          <w:rFonts w:ascii="Bell MT" w:hAnsi="Bell MT" w:cs="Times New Roman"/>
        </w:rPr>
        <w:tab/>
        <w:t>(Cambridge, Harvard University Press).</w:t>
      </w:r>
    </w:p>
    <w:p w14:paraId="094A2C83" w14:textId="77777777" w:rsidR="00B41A88" w:rsidRPr="007555CB" w:rsidRDefault="00B41A88" w:rsidP="00F54D94">
      <w:pPr>
        <w:rPr>
          <w:rFonts w:ascii="Bell MT" w:hAnsi="Bell MT" w:cs="Times New Roman"/>
        </w:rPr>
      </w:pPr>
    </w:p>
    <w:p w14:paraId="7C64AA54" w14:textId="22DE1C84" w:rsidR="00B41A88" w:rsidRPr="007555CB" w:rsidRDefault="00B41A88" w:rsidP="00F54D94">
      <w:pPr>
        <w:rPr>
          <w:rFonts w:ascii="Bell MT" w:hAnsi="Bell MT" w:cs="Times New Roman"/>
        </w:rPr>
      </w:pPr>
      <w:r w:rsidRPr="007555CB">
        <w:rPr>
          <w:rFonts w:ascii="Bell MT" w:hAnsi="Bell MT" w:cs="Times New Roman"/>
        </w:rPr>
        <w:t xml:space="preserve">Hardt, M. and Negri, A. </w:t>
      </w:r>
      <w:r w:rsidR="008B006E" w:rsidRPr="007555CB">
        <w:rPr>
          <w:rFonts w:ascii="Bell MT" w:hAnsi="Bell MT" w:cs="Times New Roman"/>
        </w:rPr>
        <w:t xml:space="preserve">(2000) </w:t>
      </w:r>
      <w:r w:rsidRPr="007555CB">
        <w:rPr>
          <w:rFonts w:ascii="Bell MT" w:hAnsi="Bell MT" w:cs="Times New Roman"/>
          <w:i/>
        </w:rPr>
        <w:t>Empire</w:t>
      </w:r>
      <w:r w:rsidR="008B006E" w:rsidRPr="007555CB">
        <w:rPr>
          <w:rFonts w:ascii="Bell MT" w:hAnsi="Bell MT" w:cs="Times New Roman"/>
          <w:i/>
        </w:rPr>
        <w:t xml:space="preserve"> </w:t>
      </w:r>
      <w:r w:rsidR="008B006E" w:rsidRPr="007555CB">
        <w:rPr>
          <w:rFonts w:ascii="Bell MT" w:hAnsi="Bell MT" w:cs="Times New Roman"/>
        </w:rPr>
        <w:t>(Cambridge, Harvard University Press)</w:t>
      </w:r>
      <w:r w:rsidRPr="007555CB">
        <w:rPr>
          <w:rFonts w:ascii="Bell MT" w:hAnsi="Bell MT" w:cs="Times New Roman"/>
        </w:rPr>
        <w:t>.</w:t>
      </w:r>
    </w:p>
    <w:p w14:paraId="0DC2B5E9" w14:textId="77777777" w:rsidR="00B41A88" w:rsidRPr="007555CB" w:rsidRDefault="00B41A88" w:rsidP="00F54D94">
      <w:pPr>
        <w:rPr>
          <w:rFonts w:ascii="Bell MT" w:hAnsi="Bell MT" w:cs="Times New Roman"/>
        </w:rPr>
      </w:pPr>
    </w:p>
    <w:p w14:paraId="01C95D2D" w14:textId="0CC0BFD9" w:rsidR="00B41A88" w:rsidRPr="007555CB" w:rsidRDefault="00B41A88" w:rsidP="00F54D94">
      <w:pPr>
        <w:rPr>
          <w:rFonts w:ascii="Bell MT" w:hAnsi="Bell MT" w:cs="Times New Roman"/>
        </w:rPr>
      </w:pPr>
      <w:r w:rsidRPr="007555CB">
        <w:rPr>
          <w:rFonts w:ascii="Bell MT" w:hAnsi="Bell MT" w:cs="Times New Roman"/>
        </w:rPr>
        <w:t xml:space="preserve">Hardt, M. and Negri, A. </w:t>
      </w:r>
      <w:r w:rsidR="00E1116D" w:rsidRPr="007555CB">
        <w:rPr>
          <w:rFonts w:ascii="Bell MT" w:hAnsi="Bell MT" w:cs="Times New Roman"/>
        </w:rPr>
        <w:t xml:space="preserve">(2005) </w:t>
      </w:r>
      <w:r w:rsidRPr="007555CB">
        <w:rPr>
          <w:rFonts w:ascii="Bell MT" w:hAnsi="Bell MT" w:cs="Times New Roman"/>
          <w:i/>
        </w:rPr>
        <w:t>Multitude</w:t>
      </w:r>
      <w:r w:rsidR="00E1116D" w:rsidRPr="007555CB">
        <w:rPr>
          <w:rFonts w:ascii="Bell MT" w:hAnsi="Bell MT" w:cs="Times New Roman"/>
        </w:rPr>
        <w:t xml:space="preserve"> (New York, Penguin Books)</w:t>
      </w:r>
      <w:r w:rsidRPr="007555CB">
        <w:rPr>
          <w:rFonts w:ascii="Bell MT" w:hAnsi="Bell MT" w:cs="Times New Roman"/>
        </w:rPr>
        <w:t>.</w:t>
      </w:r>
    </w:p>
    <w:p w14:paraId="7D9A423A" w14:textId="77777777" w:rsidR="00B41A88" w:rsidRPr="007555CB" w:rsidRDefault="00B41A88" w:rsidP="00F54D94">
      <w:pPr>
        <w:rPr>
          <w:rFonts w:ascii="Bell MT" w:hAnsi="Bell MT" w:cs="Times New Roman"/>
        </w:rPr>
      </w:pPr>
    </w:p>
    <w:p w14:paraId="419A2249" w14:textId="512212BE" w:rsidR="004B0502" w:rsidRPr="007555CB" w:rsidRDefault="004B0502" w:rsidP="00F54D94">
      <w:pPr>
        <w:rPr>
          <w:rFonts w:ascii="Bell MT" w:hAnsi="Bell MT" w:cs="Times New Roman"/>
        </w:rPr>
      </w:pPr>
      <w:r w:rsidRPr="007555CB">
        <w:rPr>
          <w:rFonts w:ascii="Bell MT" w:hAnsi="Bell MT" w:cs="Times New Roman"/>
        </w:rPr>
        <w:t xml:space="preserve">Hunter, I. (1988) The Occasion of Criticism, </w:t>
      </w:r>
      <w:r w:rsidRPr="007555CB">
        <w:rPr>
          <w:rFonts w:ascii="Bell MT" w:hAnsi="Bell MT" w:cs="Times New Roman"/>
          <w:i/>
        </w:rPr>
        <w:t>Poetics</w:t>
      </w:r>
      <w:r w:rsidRPr="007555CB">
        <w:rPr>
          <w:rFonts w:ascii="Bell MT" w:hAnsi="Bell MT" w:cs="Times New Roman"/>
        </w:rPr>
        <w:t xml:space="preserve">, 17, pp. 159-184. </w:t>
      </w:r>
    </w:p>
    <w:p w14:paraId="5DCAAA09" w14:textId="77777777" w:rsidR="00410B9E" w:rsidRPr="007555CB" w:rsidRDefault="00410B9E" w:rsidP="00F54D94">
      <w:pPr>
        <w:rPr>
          <w:rFonts w:ascii="Bell MT" w:hAnsi="Bell MT" w:cs="Times New Roman"/>
        </w:rPr>
      </w:pPr>
    </w:p>
    <w:p w14:paraId="4F7E4236" w14:textId="6B8658A3" w:rsidR="00B20B45" w:rsidRPr="007555CB" w:rsidRDefault="00B20B45" w:rsidP="00F54D94">
      <w:pPr>
        <w:rPr>
          <w:rFonts w:ascii="Bell MT" w:hAnsi="Bell MT" w:cs="Times New Roman"/>
        </w:rPr>
      </w:pPr>
      <w:r w:rsidRPr="007555CB">
        <w:rPr>
          <w:rFonts w:ascii="Bell MT" w:hAnsi="Bell MT" w:cs="Times New Roman"/>
        </w:rPr>
        <w:t xml:space="preserve">Hunter, I. (1993) “The Pastoral Bureaucracy: Towards a Less Principled </w:t>
      </w:r>
    </w:p>
    <w:p w14:paraId="1C0348CC" w14:textId="62BE6E2C" w:rsidR="00B20B45" w:rsidRPr="007555CB" w:rsidRDefault="00B20B45" w:rsidP="00F54D94">
      <w:pPr>
        <w:rPr>
          <w:rFonts w:ascii="Bell MT" w:eastAsia="Times New Roman" w:hAnsi="Bell MT" w:cs="Times New Roman"/>
          <w:i/>
        </w:rPr>
      </w:pPr>
      <w:r w:rsidRPr="007555CB">
        <w:rPr>
          <w:rFonts w:ascii="Bell MT" w:hAnsi="Bell MT" w:cs="Times New Roman"/>
        </w:rPr>
        <w:tab/>
        <w:t xml:space="preserve">Understanding of State Schooling” in D. Meredyth and D. Tyler (eds.) </w:t>
      </w:r>
      <w:r w:rsidRPr="007555CB">
        <w:rPr>
          <w:rStyle w:val="searchword"/>
          <w:rFonts w:ascii="Bell MT" w:eastAsia="Times New Roman" w:hAnsi="Bell MT" w:cs="Times New Roman"/>
          <w:i/>
        </w:rPr>
        <w:t>Child</w:t>
      </w:r>
      <w:r w:rsidRPr="007555CB">
        <w:rPr>
          <w:rFonts w:ascii="Bell MT" w:eastAsia="Times New Roman" w:hAnsi="Bell MT" w:cs="Times New Roman"/>
          <w:i/>
        </w:rPr>
        <w:t xml:space="preserve"> </w:t>
      </w:r>
    </w:p>
    <w:p w14:paraId="3E956799" w14:textId="51233EA0" w:rsidR="00B20B45" w:rsidRPr="007555CB" w:rsidRDefault="00B20B45" w:rsidP="00F54D94">
      <w:pPr>
        <w:rPr>
          <w:rFonts w:ascii="Bell MT" w:eastAsia="Times New Roman" w:hAnsi="Bell MT" w:cs="Times New Roman"/>
        </w:rPr>
      </w:pPr>
      <w:r w:rsidRPr="007555CB">
        <w:rPr>
          <w:rFonts w:ascii="Bell MT" w:eastAsia="Times New Roman" w:hAnsi="Bell MT" w:cs="Times New Roman"/>
          <w:i/>
        </w:rPr>
        <w:tab/>
      </w:r>
      <w:r w:rsidRPr="007555CB">
        <w:rPr>
          <w:rStyle w:val="searchword"/>
          <w:rFonts w:ascii="Bell MT" w:eastAsia="Times New Roman" w:hAnsi="Bell MT" w:cs="Times New Roman"/>
          <w:i/>
        </w:rPr>
        <w:t>and</w:t>
      </w:r>
      <w:r w:rsidRPr="007555CB">
        <w:rPr>
          <w:rFonts w:ascii="Bell MT" w:eastAsia="Times New Roman" w:hAnsi="Bell MT" w:cs="Times New Roman"/>
          <w:i/>
        </w:rPr>
        <w:t xml:space="preserve"> </w:t>
      </w:r>
      <w:r w:rsidRPr="007555CB">
        <w:rPr>
          <w:rStyle w:val="searchword"/>
          <w:rFonts w:ascii="Bell MT" w:eastAsia="Times New Roman" w:hAnsi="Bell MT" w:cs="Times New Roman"/>
          <w:i/>
        </w:rPr>
        <w:t>Citizen</w:t>
      </w:r>
      <w:r w:rsidRPr="007555CB">
        <w:rPr>
          <w:rFonts w:ascii="Bell MT" w:eastAsia="Times New Roman" w:hAnsi="Bell MT" w:cs="Times New Roman"/>
          <w:i/>
        </w:rPr>
        <w:t xml:space="preserve">: Genealogies of Schooling </w:t>
      </w:r>
      <w:r w:rsidRPr="007555CB">
        <w:rPr>
          <w:rStyle w:val="searchword"/>
          <w:rFonts w:ascii="Bell MT" w:eastAsia="Times New Roman" w:hAnsi="Bell MT" w:cs="Times New Roman"/>
          <w:i/>
        </w:rPr>
        <w:t>and</w:t>
      </w:r>
      <w:r w:rsidRPr="007555CB">
        <w:rPr>
          <w:rFonts w:ascii="Bell MT" w:eastAsia="Times New Roman" w:hAnsi="Bell MT" w:cs="Times New Roman"/>
          <w:i/>
        </w:rPr>
        <w:t xml:space="preserve"> Subjectivity</w:t>
      </w:r>
      <w:r w:rsidRPr="007555CB">
        <w:rPr>
          <w:rFonts w:ascii="Bell MT" w:eastAsia="Times New Roman" w:hAnsi="Bell MT" w:cs="Times New Roman"/>
        </w:rPr>
        <w:t xml:space="preserve"> (Griffiths University </w:t>
      </w:r>
    </w:p>
    <w:p w14:paraId="50265B76" w14:textId="2425D09F" w:rsidR="00B20B45" w:rsidRPr="007555CB" w:rsidRDefault="00B20B45" w:rsidP="00F54D94">
      <w:pPr>
        <w:rPr>
          <w:rFonts w:ascii="Bell MT" w:eastAsia="Times New Roman" w:hAnsi="Bell MT" w:cs="Times New Roman"/>
        </w:rPr>
      </w:pPr>
      <w:r w:rsidRPr="007555CB">
        <w:rPr>
          <w:rFonts w:ascii="Bell MT" w:eastAsia="Times New Roman" w:hAnsi="Bell MT" w:cs="Times New Roman"/>
        </w:rPr>
        <w:tab/>
        <w:t>Press).</w:t>
      </w:r>
    </w:p>
    <w:p w14:paraId="49A86163" w14:textId="77777777" w:rsidR="00B20B45" w:rsidRPr="007555CB" w:rsidRDefault="00B20B45" w:rsidP="00F54D94">
      <w:pPr>
        <w:rPr>
          <w:rFonts w:ascii="Bell MT" w:hAnsi="Bell MT" w:cs="Times New Roman"/>
        </w:rPr>
      </w:pPr>
    </w:p>
    <w:p w14:paraId="6810D9DE" w14:textId="10A7E23D" w:rsidR="00B41A88" w:rsidRPr="007555CB" w:rsidRDefault="00B41A88" w:rsidP="00F54D94">
      <w:pPr>
        <w:rPr>
          <w:rFonts w:ascii="Bell MT" w:hAnsi="Bell MT" w:cs="Times New Roman"/>
        </w:rPr>
      </w:pPr>
      <w:r w:rsidRPr="007555CB">
        <w:rPr>
          <w:rFonts w:ascii="Bell MT" w:hAnsi="Bell MT" w:cs="Times New Roman"/>
        </w:rPr>
        <w:t xml:space="preserve">Hunter, I. (1994) </w:t>
      </w:r>
      <w:r w:rsidRPr="007555CB">
        <w:rPr>
          <w:rFonts w:ascii="Bell MT" w:hAnsi="Bell MT" w:cs="Times New Roman"/>
          <w:i/>
        </w:rPr>
        <w:t>Rethinking the School</w:t>
      </w:r>
      <w:r w:rsidRPr="007555CB">
        <w:rPr>
          <w:rFonts w:ascii="Bell MT" w:hAnsi="Bell MT" w:cs="Times New Roman"/>
        </w:rPr>
        <w:t xml:space="preserve"> (St. Leonards, N.S.W., Allen &amp; Unwin).</w:t>
      </w:r>
    </w:p>
    <w:p w14:paraId="1EC2A563" w14:textId="77777777" w:rsidR="0028654E" w:rsidRPr="007555CB" w:rsidRDefault="0028654E" w:rsidP="00F54D94">
      <w:pPr>
        <w:rPr>
          <w:rFonts w:ascii="Bell MT" w:hAnsi="Bell MT" w:cs="Times New Roman"/>
        </w:rPr>
      </w:pPr>
    </w:p>
    <w:p w14:paraId="2C4F9711" w14:textId="04632153" w:rsidR="0028654E" w:rsidRPr="007555CB" w:rsidRDefault="0028654E" w:rsidP="00F54D94">
      <w:pPr>
        <w:rPr>
          <w:rFonts w:ascii="Bell MT" w:hAnsi="Bell MT" w:cs="Times New Roman"/>
        </w:rPr>
      </w:pPr>
      <w:r w:rsidRPr="007555CB">
        <w:rPr>
          <w:rFonts w:ascii="Bell MT" w:hAnsi="Bell MT" w:cs="Times New Roman"/>
        </w:rPr>
        <w:t xml:space="preserve">Hunter, I. (2000) Is Metaphysics a Threat to Liberal Democracy? </w:t>
      </w:r>
      <w:r w:rsidRPr="007555CB">
        <w:rPr>
          <w:rFonts w:ascii="Bell MT" w:hAnsi="Bell MT" w:cs="Times New Roman"/>
          <w:i/>
        </w:rPr>
        <w:t>Theoria</w:t>
      </w:r>
      <w:r w:rsidRPr="007555CB">
        <w:rPr>
          <w:rFonts w:ascii="Bell MT" w:hAnsi="Bell MT" w:cs="Times New Roman"/>
        </w:rPr>
        <w:t>, pp. 59-77.</w:t>
      </w:r>
    </w:p>
    <w:p w14:paraId="6E3C8BEE" w14:textId="77777777" w:rsidR="00321B31" w:rsidRPr="007555CB" w:rsidRDefault="00321B31" w:rsidP="00F54D94">
      <w:pPr>
        <w:rPr>
          <w:rFonts w:ascii="Bell MT" w:hAnsi="Bell MT" w:cs="Times New Roman"/>
        </w:rPr>
      </w:pPr>
    </w:p>
    <w:p w14:paraId="23D12924" w14:textId="51B4D4E7" w:rsidR="00321B31" w:rsidRPr="007555CB" w:rsidRDefault="00321B31" w:rsidP="00F54D94">
      <w:pPr>
        <w:rPr>
          <w:rFonts w:ascii="Bell MT" w:hAnsi="Bell MT" w:cs="Times New Roman"/>
        </w:rPr>
      </w:pPr>
      <w:r w:rsidRPr="007555CB">
        <w:rPr>
          <w:rFonts w:ascii="Bell MT" w:hAnsi="Bell MT" w:cs="Times New Roman"/>
        </w:rPr>
        <w:t xml:space="preserve">Hunter, I. (2006) The History of Theory, </w:t>
      </w:r>
      <w:r w:rsidRPr="007555CB">
        <w:rPr>
          <w:rFonts w:ascii="Bell MT" w:hAnsi="Bell MT" w:cs="Times New Roman"/>
          <w:i/>
        </w:rPr>
        <w:t>Critical Inquiry</w:t>
      </w:r>
      <w:r w:rsidRPr="007555CB">
        <w:rPr>
          <w:rFonts w:ascii="Bell MT" w:hAnsi="Bell MT" w:cs="Times New Roman"/>
        </w:rPr>
        <w:t xml:space="preserve">, 33, </w:t>
      </w:r>
      <w:r w:rsidR="00B929D7" w:rsidRPr="007555CB">
        <w:rPr>
          <w:rFonts w:ascii="Bell MT" w:hAnsi="Bell MT" w:cs="Times New Roman"/>
        </w:rPr>
        <w:t xml:space="preserve">pp. 78-111. </w:t>
      </w:r>
    </w:p>
    <w:p w14:paraId="44C8055B" w14:textId="77777777" w:rsidR="0085574C" w:rsidRPr="007555CB" w:rsidRDefault="0085574C" w:rsidP="00F54D94">
      <w:pPr>
        <w:rPr>
          <w:rFonts w:ascii="Bell MT" w:hAnsi="Bell MT" w:cs="Times New Roman"/>
        </w:rPr>
      </w:pPr>
    </w:p>
    <w:p w14:paraId="48825085" w14:textId="43FF9D25" w:rsidR="0085574C" w:rsidRPr="007555CB" w:rsidRDefault="0085574C" w:rsidP="00F54D94">
      <w:pPr>
        <w:rPr>
          <w:rFonts w:ascii="Bell MT" w:hAnsi="Bell MT" w:cs="Times New Roman"/>
        </w:rPr>
      </w:pPr>
      <w:r w:rsidRPr="007555CB">
        <w:rPr>
          <w:rFonts w:ascii="Bell MT" w:hAnsi="Bell MT" w:cs="Times New Roman"/>
        </w:rPr>
        <w:t xml:space="preserve">Hunter, I. (2007) The History of Philosophy and the Persona of the Philosopher, </w:t>
      </w:r>
    </w:p>
    <w:p w14:paraId="6168A886" w14:textId="77777777" w:rsidR="00CA6D81" w:rsidRPr="007555CB" w:rsidRDefault="00CA6D81" w:rsidP="00CA6D81">
      <w:pPr>
        <w:rPr>
          <w:rFonts w:ascii="Bell MT" w:hAnsi="Bell MT" w:cs="Times New Roman"/>
        </w:rPr>
      </w:pPr>
      <w:r w:rsidRPr="007555CB">
        <w:rPr>
          <w:rFonts w:ascii="Bell MT" w:hAnsi="Bell MT" w:cs="Times New Roman"/>
        </w:rPr>
        <w:tab/>
      </w:r>
      <w:r w:rsidRPr="007555CB">
        <w:rPr>
          <w:rFonts w:ascii="Bell MT" w:hAnsi="Bell MT" w:cs="Times New Roman"/>
          <w:i/>
        </w:rPr>
        <w:t>Modern Intellectual History</w:t>
      </w:r>
      <w:r w:rsidRPr="007555CB">
        <w:rPr>
          <w:rFonts w:ascii="Bell MT" w:hAnsi="Bell MT" w:cs="Times New Roman"/>
        </w:rPr>
        <w:t>, 4:3, pp. 571-600.</w:t>
      </w:r>
    </w:p>
    <w:p w14:paraId="48245E0F" w14:textId="77777777" w:rsidR="00B41A88" w:rsidRPr="007555CB" w:rsidRDefault="00B41A88" w:rsidP="00F54D94">
      <w:pPr>
        <w:rPr>
          <w:rFonts w:ascii="Bell MT" w:hAnsi="Bell MT" w:cs="Times New Roman"/>
        </w:rPr>
      </w:pPr>
    </w:p>
    <w:p w14:paraId="39F5EFA6" w14:textId="0E9EE458" w:rsidR="00CC4980" w:rsidRPr="007555CB" w:rsidRDefault="00CC4980" w:rsidP="00F54D94">
      <w:pPr>
        <w:rPr>
          <w:rFonts w:ascii="Bell MT" w:hAnsi="Bell MT" w:cs="Times New Roman"/>
        </w:rPr>
      </w:pPr>
      <w:r w:rsidRPr="007555CB">
        <w:rPr>
          <w:rFonts w:ascii="Bell MT" w:hAnsi="Bell MT" w:cs="Times New Roman"/>
        </w:rPr>
        <w:t xml:space="preserve">Kloppenberg, J.T. (1986) </w:t>
      </w:r>
      <w:r w:rsidRPr="007555CB">
        <w:rPr>
          <w:rFonts w:ascii="Bell MT" w:hAnsi="Bell MT" w:cs="Times New Roman"/>
          <w:i/>
        </w:rPr>
        <w:t>Uncertain Victory</w:t>
      </w:r>
      <w:r w:rsidRPr="007555CB">
        <w:rPr>
          <w:rFonts w:ascii="Bell MT" w:hAnsi="Bell MT" w:cs="Times New Roman"/>
        </w:rPr>
        <w:t xml:space="preserve"> (New York, Oxford University Press).</w:t>
      </w:r>
    </w:p>
    <w:p w14:paraId="630B7337" w14:textId="77777777" w:rsidR="002E3351" w:rsidRPr="007555CB" w:rsidRDefault="002E3351" w:rsidP="00F54D94">
      <w:pPr>
        <w:rPr>
          <w:rFonts w:ascii="Bell MT" w:hAnsi="Bell MT" w:cs="Times New Roman"/>
        </w:rPr>
      </w:pPr>
    </w:p>
    <w:p w14:paraId="494FE710" w14:textId="744BAFD4" w:rsidR="002E3351" w:rsidRPr="007555CB" w:rsidRDefault="002E3351" w:rsidP="00F54D94">
      <w:pPr>
        <w:rPr>
          <w:rFonts w:ascii="Bell MT" w:hAnsi="Bell MT" w:cs="Times New Roman"/>
        </w:rPr>
      </w:pPr>
      <w:r w:rsidRPr="007555CB">
        <w:rPr>
          <w:rFonts w:ascii="Bell MT" w:hAnsi="Bell MT" w:cs="Times New Roman"/>
        </w:rPr>
        <w:t xml:space="preserve">Kloppenberg, J.T. (1994) “Democracy and Disenchantment: From Weber and Dewey </w:t>
      </w:r>
    </w:p>
    <w:p w14:paraId="16A547F6" w14:textId="1DDAB8E4" w:rsidR="002E3351" w:rsidRPr="007555CB" w:rsidRDefault="002E3351" w:rsidP="00F54D94">
      <w:pPr>
        <w:rPr>
          <w:rFonts w:ascii="Bell MT" w:hAnsi="Bell MT" w:cs="Times New Roman"/>
        </w:rPr>
      </w:pPr>
      <w:r w:rsidRPr="007555CB">
        <w:rPr>
          <w:rFonts w:ascii="Bell MT" w:hAnsi="Bell MT" w:cs="Times New Roman"/>
        </w:rPr>
        <w:tab/>
        <w:t xml:space="preserve">to Habermas and Rorty” in D. Ross (ed.) </w:t>
      </w:r>
      <w:r w:rsidRPr="007555CB">
        <w:rPr>
          <w:rFonts w:ascii="Bell MT" w:hAnsi="Bell MT" w:cs="Times New Roman"/>
          <w:i/>
        </w:rPr>
        <w:t>Modernist Impulses</w:t>
      </w:r>
      <w:r w:rsidRPr="007555CB">
        <w:rPr>
          <w:rFonts w:ascii="Bell MT" w:hAnsi="Bell MT" w:cs="Times New Roman"/>
        </w:rPr>
        <w:t xml:space="preserve"> (Baltimore, John </w:t>
      </w:r>
    </w:p>
    <w:p w14:paraId="6AF3CA15" w14:textId="7F957966" w:rsidR="002E3351" w:rsidRPr="007555CB" w:rsidRDefault="002E3351" w:rsidP="00F54D94">
      <w:pPr>
        <w:rPr>
          <w:rFonts w:ascii="Bell MT" w:hAnsi="Bell MT" w:cs="Times New Roman"/>
        </w:rPr>
      </w:pPr>
      <w:r w:rsidRPr="007555CB">
        <w:rPr>
          <w:rFonts w:ascii="Bell MT" w:hAnsi="Bell MT" w:cs="Times New Roman"/>
        </w:rPr>
        <w:tab/>
        <w:t>Hopkins University Press).</w:t>
      </w:r>
    </w:p>
    <w:p w14:paraId="3FBD81D5" w14:textId="77777777" w:rsidR="008C591C" w:rsidRPr="007555CB" w:rsidRDefault="008C591C" w:rsidP="00571CD7">
      <w:pPr>
        <w:rPr>
          <w:rFonts w:ascii="Bell MT" w:hAnsi="Bell MT" w:cs="Times New Roman"/>
        </w:rPr>
      </w:pPr>
    </w:p>
    <w:p w14:paraId="4DC920F6" w14:textId="327950C0" w:rsidR="00F44ACA" w:rsidRPr="007555CB" w:rsidRDefault="00F44ACA" w:rsidP="00F44ACA">
      <w:pPr>
        <w:rPr>
          <w:rFonts w:ascii="Bell MT" w:eastAsia="Times New Roman" w:hAnsi="Bell MT" w:cs="Times New Roman"/>
        </w:rPr>
      </w:pPr>
      <w:r w:rsidRPr="007555CB">
        <w:rPr>
          <w:rFonts w:ascii="Bell MT" w:eastAsia="Times New Roman" w:hAnsi="Bell MT" w:cs="Times New Roman"/>
        </w:rPr>
        <w:t xml:space="preserve">Loughlin, Martin (2010) </w:t>
      </w:r>
      <w:r w:rsidRPr="007555CB">
        <w:rPr>
          <w:rFonts w:ascii="Bell MT" w:eastAsia="Times New Roman" w:hAnsi="Bell MT" w:cs="Times New Roman"/>
          <w:i/>
        </w:rPr>
        <w:t>Public Law</w:t>
      </w:r>
      <w:r w:rsidRPr="007555CB">
        <w:rPr>
          <w:rFonts w:ascii="Bell MT" w:eastAsia="Times New Roman" w:hAnsi="Bell MT" w:cs="Times New Roman"/>
        </w:rPr>
        <w:t>. New York: Oxford University Press.</w:t>
      </w:r>
    </w:p>
    <w:p w14:paraId="4741B138" w14:textId="77777777" w:rsidR="00C575F9" w:rsidRPr="007555CB" w:rsidRDefault="00C575F9" w:rsidP="00F44ACA">
      <w:pPr>
        <w:rPr>
          <w:rFonts w:ascii="Bell MT" w:eastAsia="Times New Roman" w:hAnsi="Bell MT" w:cs="Times New Roman"/>
        </w:rPr>
      </w:pPr>
    </w:p>
    <w:p w14:paraId="608AB12D" w14:textId="48E34A38" w:rsidR="009C259A" w:rsidRPr="007555CB" w:rsidRDefault="009C259A" w:rsidP="009C259A">
      <w:pPr>
        <w:rPr>
          <w:rFonts w:ascii="Bell MT" w:eastAsia="Times New Roman" w:hAnsi="Bell MT" w:cs="Times New Roman"/>
        </w:rPr>
      </w:pPr>
      <w:r w:rsidRPr="007555CB">
        <w:rPr>
          <w:rFonts w:ascii="Bell MT" w:eastAsia="Times New Roman" w:hAnsi="Bell MT" w:cs="Times New Roman"/>
        </w:rPr>
        <w:t xml:space="preserve">Mann, M. (1984). “The Autonomous Power of the State: Its Origins, Mechanisms and </w:t>
      </w:r>
    </w:p>
    <w:p w14:paraId="52A32906" w14:textId="246B8C72" w:rsidR="009C259A" w:rsidRPr="007555CB" w:rsidRDefault="009C259A" w:rsidP="009C259A">
      <w:pPr>
        <w:rPr>
          <w:rFonts w:ascii="Bell MT" w:hAnsi="Bell MT"/>
        </w:rPr>
      </w:pPr>
      <w:r w:rsidRPr="007555CB">
        <w:rPr>
          <w:rFonts w:ascii="Bell MT" w:eastAsia="Times New Roman" w:hAnsi="Bell MT" w:cs="Times New Roman"/>
        </w:rPr>
        <w:tab/>
        <w:t xml:space="preserve">Results,” in </w:t>
      </w:r>
      <w:r w:rsidRPr="007555CB">
        <w:rPr>
          <w:rFonts w:ascii="Bell MT" w:eastAsia="Times New Roman" w:hAnsi="Bell MT" w:cs="Times New Roman"/>
          <w:i/>
        </w:rPr>
        <w:t>Arch. Europ. Sociol.</w:t>
      </w:r>
      <w:r w:rsidRPr="007555CB">
        <w:rPr>
          <w:rFonts w:ascii="Bell MT" w:eastAsia="Times New Roman" w:hAnsi="Bell MT" w:cs="Times New Roman"/>
        </w:rPr>
        <w:t>, XXV (1984), 185-213.</w:t>
      </w:r>
    </w:p>
    <w:p w14:paraId="3297B34F" w14:textId="77777777" w:rsidR="009C259A" w:rsidRPr="007555CB" w:rsidRDefault="009C259A" w:rsidP="00F44ACA">
      <w:pPr>
        <w:rPr>
          <w:rFonts w:ascii="Bell MT" w:eastAsia="Times New Roman" w:hAnsi="Bell MT" w:cs="Times New Roman"/>
        </w:rPr>
      </w:pPr>
    </w:p>
    <w:p w14:paraId="3E38863D" w14:textId="05CD80D2" w:rsidR="00C575F9" w:rsidRPr="007555CB" w:rsidRDefault="004A7680" w:rsidP="00F44ACA">
      <w:pPr>
        <w:rPr>
          <w:rFonts w:ascii="Bell MT" w:eastAsia="Times New Roman" w:hAnsi="Bell MT" w:cs="Times New Roman"/>
          <w:i/>
        </w:rPr>
      </w:pPr>
      <w:r w:rsidRPr="007555CB">
        <w:rPr>
          <w:rFonts w:ascii="Bell MT" w:eastAsia="Times New Roman" w:hAnsi="Bell MT" w:cs="Times New Roman"/>
        </w:rPr>
        <w:t>McDonough, K. (2003)</w:t>
      </w:r>
      <w:r w:rsidR="00C575F9" w:rsidRPr="007555CB">
        <w:rPr>
          <w:rFonts w:ascii="Bell MT" w:eastAsia="Times New Roman" w:hAnsi="Bell MT" w:cs="Times New Roman"/>
        </w:rPr>
        <w:t xml:space="preserve"> </w:t>
      </w:r>
      <w:r w:rsidR="00C575F9" w:rsidRPr="007555CB">
        <w:rPr>
          <w:rFonts w:ascii="Bell MT" w:eastAsia="Times New Roman" w:hAnsi="Bell MT" w:cs="Times New Roman"/>
          <w:i/>
        </w:rPr>
        <w:t xml:space="preserve">Education and Citizenship in Liberal-Democratic Societies </w:t>
      </w:r>
    </w:p>
    <w:p w14:paraId="388045A4" w14:textId="116DB654" w:rsidR="00C575F9" w:rsidRPr="007555CB" w:rsidRDefault="00C575F9" w:rsidP="00F44ACA">
      <w:pPr>
        <w:rPr>
          <w:rFonts w:ascii="Bell MT" w:eastAsia="Times New Roman" w:hAnsi="Bell MT" w:cs="Times New Roman"/>
        </w:rPr>
      </w:pPr>
      <w:r w:rsidRPr="007555CB">
        <w:rPr>
          <w:rFonts w:ascii="Bell MT" w:eastAsia="Times New Roman" w:hAnsi="Bell MT" w:cs="Times New Roman"/>
        </w:rPr>
        <w:tab/>
        <w:t>(New York, Oxford University Press).</w:t>
      </w:r>
    </w:p>
    <w:p w14:paraId="6C1DDAA8" w14:textId="77777777" w:rsidR="00287E05" w:rsidRPr="007555CB" w:rsidRDefault="00287E05" w:rsidP="00F44ACA">
      <w:pPr>
        <w:rPr>
          <w:rFonts w:ascii="Bell MT" w:eastAsia="Times New Roman" w:hAnsi="Bell MT" w:cs="Times New Roman"/>
        </w:rPr>
      </w:pPr>
    </w:p>
    <w:p w14:paraId="505A4A8D" w14:textId="30CBE9B3" w:rsidR="00287E05" w:rsidRPr="007555CB" w:rsidRDefault="00287E05" w:rsidP="00F44ACA">
      <w:pPr>
        <w:rPr>
          <w:rFonts w:ascii="Bell MT" w:eastAsia="Times New Roman" w:hAnsi="Bell MT" w:cs="Times New Roman"/>
          <w:i/>
        </w:rPr>
      </w:pPr>
      <w:r w:rsidRPr="007555CB">
        <w:rPr>
          <w:rFonts w:ascii="Bell MT" w:eastAsia="Times New Roman" w:hAnsi="Bell MT" w:cs="Times New Roman"/>
        </w:rPr>
        <w:t xml:space="preserve">Melton, J.V.H. (1988) </w:t>
      </w:r>
      <w:r w:rsidRPr="007555CB">
        <w:rPr>
          <w:rFonts w:ascii="Bell MT" w:eastAsia="Times New Roman" w:hAnsi="Bell MT" w:cs="Times New Roman"/>
          <w:i/>
        </w:rPr>
        <w:t xml:space="preserve">Absolutism and the Eighteenth-Century Origins of Compulsory </w:t>
      </w:r>
    </w:p>
    <w:p w14:paraId="19D1511F" w14:textId="40809746" w:rsidR="00287E05" w:rsidRPr="007555CB" w:rsidRDefault="00287E05" w:rsidP="00F44ACA">
      <w:pPr>
        <w:rPr>
          <w:rFonts w:ascii="Bell MT" w:eastAsia="Times New Roman" w:hAnsi="Bell MT" w:cs="Times New Roman"/>
        </w:rPr>
      </w:pPr>
      <w:r w:rsidRPr="007555CB">
        <w:rPr>
          <w:rFonts w:ascii="Bell MT" w:eastAsia="Times New Roman" w:hAnsi="Bell MT" w:cs="Times New Roman"/>
          <w:i/>
        </w:rPr>
        <w:tab/>
        <w:t>Schooling in Prussia and Austria</w:t>
      </w:r>
      <w:r w:rsidRPr="007555CB">
        <w:rPr>
          <w:rFonts w:ascii="Bell MT" w:eastAsia="Times New Roman" w:hAnsi="Bell MT" w:cs="Times New Roman"/>
        </w:rPr>
        <w:t xml:space="preserve"> (Cambridge, Cambridge University Press).</w:t>
      </w:r>
    </w:p>
    <w:p w14:paraId="5F5F1316" w14:textId="77777777" w:rsidR="004A7680" w:rsidRPr="007555CB" w:rsidRDefault="004A7680" w:rsidP="00F44ACA">
      <w:pPr>
        <w:rPr>
          <w:rFonts w:ascii="Bell MT" w:eastAsia="Times New Roman" w:hAnsi="Bell MT" w:cs="Times New Roman"/>
        </w:rPr>
      </w:pPr>
    </w:p>
    <w:p w14:paraId="5D6C2302" w14:textId="4C7766A3" w:rsidR="004A7680" w:rsidRPr="007555CB" w:rsidRDefault="004A7680" w:rsidP="00F44ACA">
      <w:pPr>
        <w:rPr>
          <w:rFonts w:ascii="Bell MT" w:eastAsia="Times New Roman" w:hAnsi="Bell MT" w:cs="Times New Roman"/>
        </w:rPr>
      </w:pPr>
      <w:r w:rsidRPr="007555CB">
        <w:rPr>
          <w:rFonts w:ascii="Bell MT" w:eastAsia="Times New Roman" w:hAnsi="Bell MT" w:cs="Times New Roman"/>
        </w:rPr>
        <w:t xml:space="preserve">Neuberg, V.E. (1971) </w:t>
      </w:r>
      <w:r w:rsidRPr="007555CB">
        <w:rPr>
          <w:rFonts w:ascii="Bell MT" w:eastAsia="Times New Roman" w:hAnsi="Bell MT" w:cs="Times New Roman"/>
          <w:i/>
        </w:rPr>
        <w:t>Popular Education in Eighteenth Century England</w:t>
      </w:r>
      <w:r w:rsidRPr="007555CB">
        <w:rPr>
          <w:rFonts w:ascii="Bell MT" w:eastAsia="Times New Roman" w:hAnsi="Bell MT" w:cs="Times New Roman"/>
        </w:rPr>
        <w:t xml:space="preserve"> (London, </w:t>
      </w:r>
    </w:p>
    <w:p w14:paraId="37D39E94" w14:textId="1BA95103" w:rsidR="004A7680" w:rsidRPr="007555CB" w:rsidRDefault="004A7680" w:rsidP="00F44ACA">
      <w:pPr>
        <w:rPr>
          <w:rFonts w:ascii="Bell MT" w:hAnsi="Bell MT"/>
        </w:rPr>
      </w:pPr>
      <w:r w:rsidRPr="007555CB">
        <w:rPr>
          <w:rFonts w:ascii="Bell MT" w:eastAsia="Times New Roman" w:hAnsi="Bell MT" w:cs="Times New Roman"/>
        </w:rPr>
        <w:tab/>
        <w:t>Woburn Books).</w:t>
      </w:r>
    </w:p>
    <w:p w14:paraId="38025A34" w14:textId="77777777" w:rsidR="00F44ACA" w:rsidRPr="007555CB" w:rsidRDefault="00F44ACA" w:rsidP="00571CD7">
      <w:pPr>
        <w:rPr>
          <w:rFonts w:ascii="Bell MT" w:hAnsi="Bell MT" w:cs="Times New Roman"/>
        </w:rPr>
      </w:pPr>
    </w:p>
    <w:p w14:paraId="642AA61D" w14:textId="39C91020" w:rsidR="008C591C" w:rsidRPr="007555CB" w:rsidRDefault="008C591C" w:rsidP="00571CD7">
      <w:pPr>
        <w:rPr>
          <w:rFonts w:ascii="Bell MT" w:hAnsi="Bell MT" w:cs="Times New Roman"/>
        </w:rPr>
      </w:pPr>
      <w:r w:rsidRPr="007555CB">
        <w:rPr>
          <w:rFonts w:ascii="Bell MT" w:hAnsi="Bell MT" w:cs="Times New Roman"/>
        </w:rPr>
        <w:t xml:space="preserve">Rabinow, P. and Rose, N. (2003) “Thoughts on the Concept of Biopower Today,’ </w:t>
      </w:r>
    </w:p>
    <w:p w14:paraId="717C71F1" w14:textId="559F7941" w:rsidR="008C591C" w:rsidRPr="007555CB" w:rsidRDefault="008C591C" w:rsidP="00571CD7">
      <w:pPr>
        <w:rPr>
          <w:rFonts w:ascii="Bell MT" w:hAnsi="Bell MT" w:cs="Times New Roman"/>
        </w:rPr>
      </w:pPr>
      <w:r w:rsidRPr="007555CB">
        <w:rPr>
          <w:rFonts w:ascii="Bell MT" w:hAnsi="Bell MT" w:cs="Times New Roman"/>
        </w:rPr>
        <w:tab/>
      </w:r>
      <w:r w:rsidR="00D6723B" w:rsidRPr="007555CB">
        <w:rPr>
          <w:rFonts w:ascii="Bell MT" w:hAnsi="Bell MT" w:cs="Times New Roman"/>
        </w:rPr>
        <w:t>www.molsci.org/files/Rose_Rabinow_Biopower_Today.pdf.</w:t>
      </w:r>
    </w:p>
    <w:p w14:paraId="0B309CE7" w14:textId="77777777" w:rsidR="00D6723B" w:rsidRPr="007555CB" w:rsidRDefault="00D6723B" w:rsidP="00571CD7">
      <w:pPr>
        <w:rPr>
          <w:rFonts w:ascii="Bell MT" w:hAnsi="Bell MT" w:cs="Times New Roman"/>
        </w:rPr>
      </w:pPr>
    </w:p>
    <w:p w14:paraId="55F78C7B" w14:textId="4049C706" w:rsidR="00D6723B" w:rsidRPr="007555CB" w:rsidRDefault="00D6723B" w:rsidP="00571CD7">
      <w:pPr>
        <w:rPr>
          <w:rFonts w:ascii="Bell MT" w:hAnsi="Bell MT" w:cs="Times New Roman"/>
        </w:rPr>
      </w:pPr>
      <w:r w:rsidRPr="007555CB">
        <w:rPr>
          <w:rFonts w:ascii="Bell MT" w:hAnsi="Bell MT" w:cs="Times New Roman"/>
        </w:rPr>
        <w:t xml:space="preserve">Rifkin, J. (2009) </w:t>
      </w:r>
      <w:r w:rsidRPr="007555CB">
        <w:rPr>
          <w:rFonts w:ascii="Bell MT" w:hAnsi="Bell MT" w:cs="Times New Roman"/>
          <w:i/>
        </w:rPr>
        <w:t xml:space="preserve">Empathic Civilization </w:t>
      </w:r>
      <w:r w:rsidRPr="007555CB">
        <w:rPr>
          <w:rFonts w:ascii="Bell MT" w:hAnsi="Bell MT" w:cs="Times New Roman"/>
        </w:rPr>
        <w:t xml:space="preserve">(Cambridge, Polity Press). </w:t>
      </w:r>
    </w:p>
    <w:p w14:paraId="4B5ADA22" w14:textId="77777777" w:rsidR="00513C69" w:rsidRPr="007555CB" w:rsidRDefault="00513C69" w:rsidP="00571CD7">
      <w:pPr>
        <w:rPr>
          <w:rFonts w:ascii="Bell MT" w:hAnsi="Bell MT" w:cs="Times New Roman"/>
        </w:rPr>
      </w:pPr>
    </w:p>
    <w:p w14:paraId="776F3280" w14:textId="5AF2E62D" w:rsidR="00513C69" w:rsidRPr="007555CB" w:rsidRDefault="00513C69" w:rsidP="00571CD7">
      <w:pPr>
        <w:rPr>
          <w:rFonts w:ascii="Bell MT" w:hAnsi="Bell MT" w:cs="Times New Roman"/>
        </w:rPr>
      </w:pPr>
      <w:r w:rsidRPr="007555CB">
        <w:rPr>
          <w:rFonts w:ascii="Bell MT" w:hAnsi="Bell MT" w:cs="Times New Roman"/>
        </w:rPr>
        <w:t xml:space="preserve">Brent, R. (1987) </w:t>
      </w:r>
      <w:r w:rsidRPr="007555CB">
        <w:rPr>
          <w:rFonts w:ascii="Bell MT" w:hAnsi="Bell MT" w:cs="Times New Roman"/>
          <w:i/>
        </w:rPr>
        <w:t>Liberal Anglican Politics</w:t>
      </w:r>
      <w:r w:rsidRPr="007555CB">
        <w:rPr>
          <w:rFonts w:ascii="Bell MT" w:hAnsi="Bell MT" w:cs="Times New Roman"/>
        </w:rPr>
        <w:t xml:space="preserve"> (Oxford, Oxford University Press). </w:t>
      </w:r>
    </w:p>
    <w:p w14:paraId="4F61D55F" w14:textId="77777777" w:rsidR="00E44C74" w:rsidRPr="007555CB" w:rsidRDefault="00E44C74" w:rsidP="00571CD7">
      <w:pPr>
        <w:rPr>
          <w:rFonts w:ascii="Bell MT" w:hAnsi="Bell MT" w:cs="Times New Roman"/>
        </w:rPr>
      </w:pPr>
    </w:p>
    <w:p w14:paraId="77438AD4" w14:textId="439864C4" w:rsidR="00E44C74" w:rsidRPr="007555CB" w:rsidRDefault="00E44C74" w:rsidP="00571CD7">
      <w:pPr>
        <w:rPr>
          <w:rFonts w:ascii="Bell MT" w:hAnsi="Bell MT" w:cs="Times New Roman"/>
        </w:rPr>
      </w:pPr>
      <w:r w:rsidRPr="007555CB">
        <w:rPr>
          <w:rFonts w:ascii="Bell MT" w:hAnsi="Bell MT" w:cs="Times New Roman"/>
        </w:rPr>
        <w:t xml:space="preserve">Paz, D.G. (1980) </w:t>
      </w:r>
      <w:r w:rsidRPr="007555CB">
        <w:rPr>
          <w:rFonts w:ascii="Bell MT" w:hAnsi="Bell MT" w:cs="Times New Roman"/>
          <w:i/>
        </w:rPr>
        <w:t>The Politics of Working-Class Education in Britain 1830-50</w:t>
      </w:r>
      <w:r w:rsidRPr="007555CB">
        <w:rPr>
          <w:rFonts w:ascii="Bell MT" w:hAnsi="Bell MT" w:cs="Times New Roman"/>
        </w:rPr>
        <w:t xml:space="preserve"> </w:t>
      </w:r>
    </w:p>
    <w:p w14:paraId="485E894C" w14:textId="5EA6BAFA" w:rsidR="00E44C74" w:rsidRPr="007555CB" w:rsidRDefault="00E44C74" w:rsidP="00571CD7">
      <w:pPr>
        <w:rPr>
          <w:rFonts w:ascii="Bell MT" w:hAnsi="Bell MT" w:cs="Times New Roman"/>
        </w:rPr>
      </w:pPr>
      <w:r w:rsidRPr="007555CB">
        <w:rPr>
          <w:rFonts w:ascii="Bell MT" w:hAnsi="Bell MT" w:cs="Times New Roman"/>
        </w:rPr>
        <w:tab/>
        <w:t>(Manchester, Manchester University Press).</w:t>
      </w:r>
    </w:p>
    <w:p w14:paraId="4A8B8C6F" w14:textId="77777777" w:rsidR="00571CD7" w:rsidRPr="007555CB" w:rsidRDefault="00571CD7" w:rsidP="00571CD7">
      <w:pPr>
        <w:rPr>
          <w:rFonts w:ascii="Bell MT" w:hAnsi="Bell MT" w:cs="Times New Roman"/>
        </w:rPr>
      </w:pPr>
    </w:p>
    <w:p w14:paraId="79C56D76" w14:textId="6558F1EF" w:rsidR="00F35779" w:rsidRPr="007555CB" w:rsidRDefault="00F35779" w:rsidP="00571CD7">
      <w:pPr>
        <w:rPr>
          <w:rFonts w:ascii="Bell MT" w:hAnsi="Bell MT" w:cs="Times New Roman"/>
        </w:rPr>
      </w:pPr>
      <w:r w:rsidRPr="007555CB">
        <w:rPr>
          <w:rFonts w:ascii="Bell MT" w:hAnsi="Bell MT" w:cs="Times New Roman"/>
        </w:rPr>
        <w:t xml:space="preserve">Rorty, R. (1979) </w:t>
      </w:r>
      <w:r w:rsidRPr="007555CB">
        <w:rPr>
          <w:rFonts w:ascii="Bell MT" w:hAnsi="Bell MT" w:cs="Times New Roman"/>
          <w:i/>
        </w:rPr>
        <w:t>Philosophy and the Mirror of Nature</w:t>
      </w:r>
      <w:r w:rsidRPr="007555CB">
        <w:rPr>
          <w:rFonts w:ascii="Bell MT" w:hAnsi="Bell MT" w:cs="Times New Roman"/>
        </w:rPr>
        <w:t xml:space="preserve"> (Princeton, Princeton </w:t>
      </w:r>
    </w:p>
    <w:p w14:paraId="204655B6" w14:textId="1A30A182" w:rsidR="00F35779" w:rsidRPr="007555CB" w:rsidRDefault="00F35779" w:rsidP="00571CD7">
      <w:pPr>
        <w:rPr>
          <w:rFonts w:ascii="Bell MT" w:hAnsi="Bell MT" w:cs="Times New Roman"/>
        </w:rPr>
      </w:pPr>
      <w:r w:rsidRPr="007555CB">
        <w:rPr>
          <w:rFonts w:ascii="Bell MT" w:hAnsi="Bell MT" w:cs="Times New Roman"/>
        </w:rPr>
        <w:tab/>
        <w:t>University Press).</w:t>
      </w:r>
    </w:p>
    <w:p w14:paraId="31660669" w14:textId="77777777" w:rsidR="00F35779" w:rsidRPr="007555CB" w:rsidRDefault="00F35779" w:rsidP="00571CD7">
      <w:pPr>
        <w:rPr>
          <w:rFonts w:ascii="Bell MT" w:hAnsi="Bell MT" w:cs="Times New Roman"/>
        </w:rPr>
      </w:pPr>
    </w:p>
    <w:p w14:paraId="64C06827" w14:textId="5F993E89" w:rsidR="001B3340" w:rsidRPr="007555CB" w:rsidRDefault="001B3340" w:rsidP="00571CD7">
      <w:pPr>
        <w:rPr>
          <w:rFonts w:ascii="Bell MT" w:hAnsi="Bell MT" w:cs="Times New Roman"/>
        </w:rPr>
      </w:pPr>
      <w:r w:rsidRPr="007555CB">
        <w:rPr>
          <w:rFonts w:ascii="Bell MT" w:hAnsi="Bell MT" w:cs="Times New Roman"/>
        </w:rPr>
        <w:t xml:space="preserve">Rorty, R. (1991) </w:t>
      </w:r>
      <w:r w:rsidRPr="007555CB">
        <w:rPr>
          <w:rFonts w:ascii="Bell MT" w:hAnsi="Bell MT" w:cs="Times New Roman"/>
          <w:i/>
        </w:rPr>
        <w:t>Objectivity, Relativism and Truth</w:t>
      </w:r>
      <w:r w:rsidRPr="007555CB">
        <w:rPr>
          <w:rFonts w:ascii="Bell MT" w:hAnsi="Bell MT" w:cs="Times New Roman"/>
        </w:rPr>
        <w:t xml:space="preserve"> (Cambridge, Cambridge </w:t>
      </w:r>
    </w:p>
    <w:p w14:paraId="15010402" w14:textId="1A2B56EC" w:rsidR="001B3340" w:rsidRPr="007555CB" w:rsidRDefault="001B3340" w:rsidP="00571CD7">
      <w:pPr>
        <w:rPr>
          <w:rFonts w:ascii="Bell MT" w:hAnsi="Bell MT" w:cs="Times New Roman"/>
        </w:rPr>
      </w:pPr>
      <w:r w:rsidRPr="007555CB">
        <w:rPr>
          <w:rFonts w:ascii="Bell MT" w:hAnsi="Bell MT" w:cs="Times New Roman"/>
        </w:rPr>
        <w:tab/>
        <w:t>University Press).</w:t>
      </w:r>
    </w:p>
    <w:p w14:paraId="798A5476" w14:textId="77777777" w:rsidR="001B3340" w:rsidRPr="007555CB" w:rsidRDefault="001B3340" w:rsidP="00571CD7">
      <w:pPr>
        <w:rPr>
          <w:rFonts w:ascii="Bell MT" w:hAnsi="Bell MT" w:cs="Times New Roman"/>
        </w:rPr>
      </w:pPr>
    </w:p>
    <w:p w14:paraId="53957904" w14:textId="44688A31" w:rsidR="005F699D" w:rsidRPr="007555CB" w:rsidRDefault="005F699D" w:rsidP="00571CD7">
      <w:pPr>
        <w:rPr>
          <w:rFonts w:ascii="Bell MT" w:hAnsi="Bell MT" w:cs="Times New Roman"/>
        </w:rPr>
      </w:pPr>
      <w:r w:rsidRPr="007555CB">
        <w:rPr>
          <w:rFonts w:ascii="Bell MT" w:hAnsi="Bell MT" w:cs="Times New Roman"/>
        </w:rPr>
        <w:t xml:space="preserve">Rorty, R. </w:t>
      </w:r>
      <w:r w:rsidR="009A2293" w:rsidRPr="007555CB">
        <w:rPr>
          <w:rFonts w:ascii="Bell MT" w:hAnsi="Bell MT" w:cs="Times New Roman"/>
        </w:rPr>
        <w:t xml:space="preserve">(1993) “Human Rights, Rationality, and Sentimentality” in Shute and </w:t>
      </w:r>
    </w:p>
    <w:p w14:paraId="7141E02C" w14:textId="01D39B85" w:rsidR="009A2293" w:rsidRPr="007555CB" w:rsidRDefault="009A2293" w:rsidP="00571CD7">
      <w:pPr>
        <w:rPr>
          <w:rFonts w:ascii="Bell MT" w:hAnsi="Bell MT" w:cs="Times New Roman"/>
        </w:rPr>
      </w:pPr>
      <w:r w:rsidRPr="007555CB">
        <w:rPr>
          <w:rFonts w:ascii="Bell MT" w:hAnsi="Bell MT" w:cs="Times New Roman"/>
        </w:rPr>
        <w:tab/>
        <w:t xml:space="preserve">Hurley (eds) </w:t>
      </w:r>
      <w:r w:rsidRPr="007555CB">
        <w:rPr>
          <w:rFonts w:ascii="Bell MT" w:hAnsi="Bell MT" w:cs="Times New Roman"/>
          <w:i/>
        </w:rPr>
        <w:t>On Human Rights</w:t>
      </w:r>
      <w:r w:rsidRPr="007555CB">
        <w:rPr>
          <w:rFonts w:ascii="Bell MT" w:hAnsi="Bell MT" w:cs="Times New Roman"/>
        </w:rPr>
        <w:t xml:space="preserve"> (New York, Basic Books).</w:t>
      </w:r>
    </w:p>
    <w:p w14:paraId="2D70F99F" w14:textId="77777777" w:rsidR="009A2293" w:rsidRPr="007555CB" w:rsidRDefault="009A2293" w:rsidP="00571CD7">
      <w:pPr>
        <w:rPr>
          <w:rFonts w:ascii="Bell MT" w:hAnsi="Bell MT" w:cs="Times New Roman"/>
        </w:rPr>
      </w:pPr>
    </w:p>
    <w:p w14:paraId="067A8794" w14:textId="77777777" w:rsidR="00402BE0" w:rsidRPr="007555CB" w:rsidRDefault="00402BE0" w:rsidP="00C368D7">
      <w:pPr>
        <w:rPr>
          <w:rFonts w:ascii="Bell MT" w:hAnsi="Bell MT" w:cs="Times New Roman"/>
        </w:rPr>
      </w:pPr>
      <w:r w:rsidRPr="007555CB">
        <w:rPr>
          <w:rFonts w:ascii="Bell MT" w:hAnsi="Bell MT" w:cs="Times New Roman"/>
        </w:rPr>
        <w:t xml:space="preserve">Sadler, J.E. (1966) </w:t>
      </w:r>
      <w:r w:rsidRPr="007555CB">
        <w:rPr>
          <w:rFonts w:ascii="Bell MT" w:hAnsi="Bell MT" w:cs="Times New Roman"/>
          <w:i/>
        </w:rPr>
        <w:t>J.A. Comenius and the Concept of Universal Education</w:t>
      </w:r>
      <w:r w:rsidRPr="007555CB">
        <w:rPr>
          <w:rFonts w:ascii="Bell MT" w:hAnsi="Bell MT" w:cs="Times New Roman"/>
        </w:rPr>
        <w:t xml:space="preserve"> (</w:t>
      </w:r>
    </w:p>
    <w:p w14:paraId="6BEF56B3" w14:textId="77777777" w:rsidR="00402BE0" w:rsidRPr="007555CB" w:rsidRDefault="00402BE0" w:rsidP="00C368D7">
      <w:pPr>
        <w:rPr>
          <w:rFonts w:ascii="Bell MT" w:hAnsi="Bell MT" w:cs="Times New Roman"/>
        </w:rPr>
      </w:pPr>
    </w:p>
    <w:p w14:paraId="0520C5DF" w14:textId="25AFFFA6" w:rsidR="00C368D7" w:rsidRPr="007555CB" w:rsidRDefault="00C368D7" w:rsidP="00C368D7">
      <w:pPr>
        <w:rPr>
          <w:rFonts w:ascii="Bell MT" w:hAnsi="Bell MT" w:cs="Times New Roman"/>
        </w:rPr>
      </w:pPr>
      <w:r w:rsidRPr="007555CB">
        <w:rPr>
          <w:rFonts w:ascii="Bell MT" w:hAnsi="Bell MT" w:cs="Times New Roman"/>
        </w:rPr>
        <w:t xml:space="preserve">Straume, I. (2014) Paideia, in: S. Adams (ed) </w:t>
      </w:r>
      <w:r w:rsidRPr="007555CB">
        <w:rPr>
          <w:rFonts w:ascii="Bell MT" w:hAnsi="Bell MT" w:cs="Times New Roman"/>
          <w:i/>
        </w:rPr>
        <w:t>Cornelius Castoriadis: Key Concepts</w:t>
      </w:r>
      <w:r w:rsidRPr="007555CB">
        <w:rPr>
          <w:rFonts w:ascii="Bell MT" w:hAnsi="Bell MT" w:cs="Times New Roman"/>
        </w:rPr>
        <w:t xml:space="preserve"> </w:t>
      </w:r>
    </w:p>
    <w:p w14:paraId="5553A320" w14:textId="77777777" w:rsidR="00C368D7" w:rsidRPr="007555CB" w:rsidRDefault="00C368D7" w:rsidP="00C368D7">
      <w:pPr>
        <w:rPr>
          <w:rFonts w:ascii="Bell MT" w:hAnsi="Bell MT" w:cs="Times New Roman"/>
        </w:rPr>
      </w:pPr>
      <w:r w:rsidRPr="007555CB">
        <w:rPr>
          <w:rFonts w:ascii="Bell MT" w:hAnsi="Bell MT" w:cs="Times New Roman"/>
        </w:rPr>
        <w:t xml:space="preserve">    (London, Bloomsbury).</w:t>
      </w:r>
    </w:p>
    <w:p w14:paraId="57DDF13C" w14:textId="77777777" w:rsidR="00402BE0" w:rsidRPr="007555CB" w:rsidRDefault="00402BE0" w:rsidP="00C368D7">
      <w:pPr>
        <w:rPr>
          <w:rFonts w:ascii="Bell MT" w:hAnsi="Bell MT" w:cs="Times New Roman"/>
        </w:rPr>
      </w:pPr>
    </w:p>
    <w:p w14:paraId="6B87DE04" w14:textId="2760A600" w:rsidR="005F699D" w:rsidRPr="007555CB" w:rsidRDefault="005F699D" w:rsidP="00C368D7">
      <w:pPr>
        <w:rPr>
          <w:rFonts w:ascii="Bell MT" w:hAnsi="Bell MT" w:cs="Times New Roman"/>
          <w:i/>
        </w:rPr>
      </w:pPr>
      <w:r w:rsidRPr="007555CB">
        <w:rPr>
          <w:rFonts w:ascii="Bell MT" w:hAnsi="Bell MT" w:cs="Times New Roman"/>
        </w:rPr>
        <w:t>Tully, J. (</w:t>
      </w:r>
      <w:r w:rsidR="003C0F7F" w:rsidRPr="007555CB">
        <w:rPr>
          <w:rFonts w:ascii="Bell MT" w:hAnsi="Bell MT" w:cs="Times New Roman"/>
        </w:rPr>
        <w:t xml:space="preserve">1988) “Governing Conduct” in Leites (ed.) </w:t>
      </w:r>
      <w:r w:rsidR="003C0F7F" w:rsidRPr="007555CB">
        <w:rPr>
          <w:rFonts w:ascii="Bell MT" w:hAnsi="Bell MT" w:cs="Times New Roman"/>
          <w:i/>
        </w:rPr>
        <w:t xml:space="preserve">Conscience and Casuistry in </w:t>
      </w:r>
    </w:p>
    <w:p w14:paraId="74D27D1C" w14:textId="77777777" w:rsidR="003C0F7F" w:rsidRPr="007555CB" w:rsidRDefault="003C0F7F" w:rsidP="003C0F7F">
      <w:pPr>
        <w:rPr>
          <w:rFonts w:ascii="Bell MT" w:hAnsi="Bell MT" w:cs="Times New Roman"/>
        </w:rPr>
      </w:pPr>
      <w:r w:rsidRPr="007555CB">
        <w:rPr>
          <w:rFonts w:ascii="Bell MT" w:hAnsi="Bell MT" w:cs="Times New Roman"/>
          <w:i/>
        </w:rPr>
        <w:tab/>
        <w:t>Early Modern Europe</w:t>
      </w:r>
      <w:r w:rsidRPr="007555CB">
        <w:rPr>
          <w:rFonts w:ascii="Bell MT" w:hAnsi="Bell MT" w:cs="Times New Roman"/>
        </w:rPr>
        <w:t xml:space="preserve"> (Cambridge, Cambridge University Press). </w:t>
      </w:r>
    </w:p>
    <w:p w14:paraId="4FC4FFC8" w14:textId="77777777" w:rsidR="005F699D" w:rsidRPr="007555CB" w:rsidRDefault="005F699D" w:rsidP="00C368D7">
      <w:pPr>
        <w:rPr>
          <w:rFonts w:ascii="Bell MT" w:hAnsi="Bell MT" w:cs="Times New Roman"/>
        </w:rPr>
      </w:pPr>
    </w:p>
    <w:p w14:paraId="787C6D53" w14:textId="6B5CC90B" w:rsidR="00402BE0" w:rsidRPr="007555CB" w:rsidRDefault="00402BE0" w:rsidP="00464878">
      <w:pPr>
        <w:rPr>
          <w:rFonts w:ascii="Bell MT" w:hAnsi="Bell MT" w:cs="Times New Roman"/>
        </w:rPr>
      </w:pPr>
      <w:r w:rsidRPr="007555CB">
        <w:rPr>
          <w:rFonts w:ascii="Bell MT" w:hAnsi="Bell MT" w:cs="Times New Roman"/>
        </w:rPr>
        <w:t xml:space="preserve">Turnbull, G.H. (1947) </w:t>
      </w:r>
      <w:r w:rsidRPr="007555CB">
        <w:rPr>
          <w:rFonts w:ascii="Bell MT" w:hAnsi="Bell MT" w:cs="Times New Roman"/>
          <w:i/>
        </w:rPr>
        <w:t>Hartlib, Dury and Comenius</w:t>
      </w:r>
      <w:r w:rsidR="008B006E" w:rsidRPr="007555CB">
        <w:rPr>
          <w:rFonts w:ascii="Bell MT" w:hAnsi="Bell MT" w:cs="Times New Roman"/>
        </w:rPr>
        <w:t xml:space="preserve"> (Liverpool, Liverpool University</w:t>
      </w:r>
    </w:p>
    <w:p w14:paraId="08B037E4" w14:textId="61999312" w:rsidR="008B006E" w:rsidRPr="007555CB" w:rsidRDefault="008B006E" w:rsidP="00464878">
      <w:pPr>
        <w:rPr>
          <w:rFonts w:ascii="Bell MT" w:hAnsi="Bell MT" w:cs="Times New Roman"/>
        </w:rPr>
      </w:pPr>
      <w:r w:rsidRPr="007555CB">
        <w:rPr>
          <w:rFonts w:ascii="Bell MT" w:hAnsi="Bell MT" w:cs="Times New Roman"/>
        </w:rPr>
        <w:tab/>
        <w:t>Press).</w:t>
      </w:r>
    </w:p>
    <w:p w14:paraId="077812B0" w14:textId="77777777" w:rsidR="00464878" w:rsidRPr="007555CB" w:rsidRDefault="00464878" w:rsidP="00464878">
      <w:pPr>
        <w:rPr>
          <w:rFonts w:ascii="Bell MT" w:hAnsi="Bell MT" w:cs="Times New Roman"/>
        </w:rPr>
      </w:pPr>
    </w:p>
    <w:p w14:paraId="633426A8" w14:textId="3079E139" w:rsidR="00871241" w:rsidRPr="007555CB" w:rsidRDefault="00871241" w:rsidP="00464878">
      <w:pPr>
        <w:rPr>
          <w:rFonts w:ascii="Bell MT" w:hAnsi="Bell MT"/>
          <w:i/>
        </w:rPr>
      </w:pPr>
      <w:r w:rsidRPr="007555CB">
        <w:rPr>
          <w:rFonts w:ascii="Bell MT" w:hAnsi="Bell MT"/>
        </w:rPr>
        <w:t>Wagner, P. (2001)</w:t>
      </w:r>
      <w:r w:rsidRPr="007555CB">
        <w:rPr>
          <w:rFonts w:ascii="Bell MT" w:hAnsi="Bell MT"/>
          <w:i/>
        </w:rPr>
        <w:t xml:space="preserve"> Theorising Modernity: </w:t>
      </w:r>
      <w:r w:rsidR="00464878" w:rsidRPr="007555CB">
        <w:rPr>
          <w:rFonts w:ascii="Bell MT" w:hAnsi="Bell MT"/>
          <w:i/>
        </w:rPr>
        <w:t xml:space="preserve">Inescapability and Attainability in Social </w:t>
      </w:r>
    </w:p>
    <w:p w14:paraId="4EC20260" w14:textId="100D2D48" w:rsidR="00464878" w:rsidRPr="007555CB" w:rsidRDefault="00464878" w:rsidP="00464878">
      <w:pPr>
        <w:rPr>
          <w:rFonts w:ascii="Bell MT" w:hAnsi="Bell MT"/>
        </w:rPr>
      </w:pPr>
      <w:r w:rsidRPr="007555CB">
        <w:rPr>
          <w:rFonts w:ascii="Bell MT" w:hAnsi="Bell MT"/>
          <w:i/>
        </w:rPr>
        <w:tab/>
        <w:t>Theory</w:t>
      </w:r>
      <w:r w:rsidRPr="007555CB">
        <w:rPr>
          <w:rFonts w:ascii="Bell MT" w:hAnsi="Bell MT"/>
        </w:rPr>
        <w:t xml:space="preserve"> (London, Sage Press).</w:t>
      </w:r>
    </w:p>
    <w:p w14:paraId="638C7D25" w14:textId="77777777" w:rsidR="008D3AA4" w:rsidRPr="007555CB" w:rsidRDefault="008D3AA4" w:rsidP="00464878">
      <w:pPr>
        <w:rPr>
          <w:rFonts w:ascii="Bell MT" w:hAnsi="Bell MT"/>
        </w:rPr>
      </w:pPr>
    </w:p>
    <w:p w14:paraId="1FA9D8D9" w14:textId="5D288F78" w:rsidR="008D3AA4" w:rsidRPr="007555CB" w:rsidRDefault="008D3AA4" w:rsidP="00464878">
      <w:pPr>
        <w:rPr>
          <w:rFonts w:ascii="Bell MT" w:hAnsi="Bell MT"/>
        </w:rPr>
      </w:pPr>
      <w:r w:rsidRPr="007555CB">
        <w:rPr>
          <w:rFonts w:ascii="Bell MT" w:hAnsi="Bell MT"/>
        </w:rPr>
        <w:t xml:space="preserve">Westbrook, R.B. (1991) </w:t>
      </w:r>
      <w:r w:rsidRPr="007555CB">
        <w:rPr>
          <w:rFonts w:ascii="Bell MT" w:hAnsi="Bell MT"/>
          <w:i/>
        </w:rPr>
        <w:t>John Dewey and American Democracy</w:t>
      </w:r>
      <w:r w:rsidRPr="007555CB">
        <w:rPr>
          <w:rFonts w:ascii="Bell MT" w:hAnsi="Bell MT"/>
        </w:rPr>
        <w:t xml:space="preserve"> (Ithaca, Cornell </w:t>
      </w:r>
    </w:p>
    <w:p w14:paraId="121F4450" w14:textId="77777777" w:rsidR="008D3AA4" w:rsidRPr="007555CB" w:rsidRDefault="008D3AA4" w:rsidP="008D3AA4">
      <w:pPr>
        <w:rPr>
          <w:rFonts w:ascii="Bell MT" w:hAnsi="Bell MT"/>
        </w:rPr>
      </w:pPr>
      <w:r w:rsidRPr="007555CB">
        <w:rPr>
          <w:rFonts w:ascii="Bell MT" w:hAnsi="Bell MT"/>
        </w:rPr>
        <w:tab/>
        <w:t>University Press).</w:t>
      </w:r>
    </w:p>
    <w:p w14:paraId="7814D132" w14:textId="51AA6CDD" w:rsidR="008D3AA4" w:rsidRPr="007555CB" w:rsidRDefault="008D3AA4" w:rsidP="00464878">
      <w:pPr>
        <w:rPr>
          <w:rFonts w:ascii="Bell MT" w:hAnsi="Bell MT"/>
        </w:rPr>
      </w:pPr>
    </w:p>
    <w:p w14:paraId="5406AF98" w14:textId="77777777" w:rsidR="008D3AA4" w:rsidRPr="007555CB" w:rsidRDefault="008D3AA4" w:rsidP="00464878">
      <w:pPr>
        <w:rPr>
          <w:rFonts w:ascii="Bell MT" w:hAnsi="Bell MT"/>
        </w:rPr>
      </w:pPr>
    </w:p>
    <w:sectPr w:rsidR="008D3AA4" w:rsidRPr="007555CB" w:rsidSect="0098178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7A56" w14:textId="77777777" w:rsidR="009327FE" w:rsidRDefault="009327FE" w:rsidP="00E279D0">
      <w:r>
        <w:separator/>
      </w:r>
    </w:p>
  </w:endnote>
  <w:endnote w:type="continuationSeparator" w:id="0">
    <w:p w14:paraId="5F2738F6" w14:textId="77777777" w:rsidR="009327FE" w:rsidRDefault="009327FE" w:rsidP="00E2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E0A2" w14:textId="77777777" w:rsidR="009327FE" w:rsidRDefault="009327FE" w:rsidP="00932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97157" w14:textId="77777777" w:rsidR="009327FE" w:rsidRDefault="009327FE" w:rsidP="004554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E331" w14:textId="77777777" w:rsidR="009327FE" w:rsidRDefault="009327FE" w:rsidP="00932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FF3">
      <w:rPr>
        <w:rStyle w:val="PageNumber"/>
        <w:noProof/>
      </w:rPr>
      <w:t>1</w:t>
    </w:r>
    <w:r>
      <w:rPr>
        <w:rStyle w:val="PageNumber"/>
      </w:rPr>
      <w:fldChar w:fldCharType="end"/>
    </w:r>
  </w:p>
  <w:p w14:paraId="608F3973" w14:textId="77777777" w:rsidR="009327FE" w:rsidRDefault="009327FE" w:rsidP="004554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0C9B8" w14:textId="77777777" w:rsidR="009327FE" w:rsidRDefault="009327FE" w:rsidP="00E279D0">
      <w:r>
        <w:separator/>
      </w:r>
    </w:p>
  </w:footnote>
  <w:footnote w:type="continuationSeparator" w:id="0">
    <w:p w14:paraId="1EDEE9E2" w14:textId="77777777" w:rsidR="009327FE" w:rsidRDefault="009327FE" w:rsidP="00E279D0">
      <w:r>
        <w:continuationSeparator/>
      </w:r>
    </w:p>
  </w:footnote>
  <w:footnote w:id="1">
    <w:p w14:paraId="428D0BC8" w14:textId="3DFFCD88" w:rsidR="009327FE" w:rsidRPr="00077690" w:rsidRDefault="009327FE">
      <w:pPr>
        <w:pStyle w:val="FootnoteText"/>
        <w:rPr>
          <w:rFonts w:ascii="Bell MT" w:hAnsi="Bell MT"/>
          <w:sz w:val="20"/>
          <w:szCs w:val="20"/>
        </w:rPr>
      </w:pPr>
      <w:r w:rsidRPr="00077690">
        <w:rPr>
          <w:rStyle w:val="FootnoteReference"/>
          <w:rFonts w:ascii="Bell MT" w:hAnsi="Bell MT"/>
          <w:sz w:val="20"/>
          <w:szCs w:val="20"/>
        </w:rPr>
        <w:footnoteRef/>
      </w:r>
      <w:r w:rsidRPr="00077690">
        <w:rPr>
          <w:rFonts w:ascii="Bell MT" w:hAnsi="Bell MT"/>
          <w:sz w:val="20"/>
          <w:szCs w:val="20"/>
        </w:rPr>
        <w:t xml:space="preserve"> See for example Hunter’s “Religious Freedom in Early Modern Germany: Theology, Philosophy, and Legal Casuistry (2014)” for an elaboration. </w:t>
      </w:r>
    </w:p>
  </w:footnote>
  <w:footnote w:id="2">
    <w:p w14:paraId="32F98D9D" w14:textId="152AA4A3" w:rsidR="009327FE" w:rsidRDefault="009327FE">
      <w:pPr>
        <w:pStyle w:val="FootnoteText"/>
      </w:pPr>
      <w:r>
        <w:rPr>
          <w:rStyle w:val="FootnoteReference"/>
        </w:rPr>
        <w:footnoteRef/>
      </w:r>
      <w:r>
        <w:t xml:space="preserve"> </w:t>
      </w:r>
      <w:r w:rsidRPr="004A136C">
        <w:t>https://www.facinghistory.org/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C8"/>
    <w:rsid w:val="00005AF8"/>
    <w:rsid w:val="00011343"/>
    <w:rsid w:val="00017635"/>
    <w:rsid w:val="00023F03"/>
    <w:rsid w:val="0002406C"/>
    <w:rsid w:val="00046527"/>
    <w:rsid w:val="0006514E"/>
    <w:rsid w:val="00076D44"/>
    <w:rsid w:val="00077690"/>
    <w:rsid w:val="00084320"/>
    <w:rsid w:val="0008609B"/>
    <w:rsid w:val="00093D4C"/>
    <w:rsid w:val="000A603B"/>
    <w:rsid w:val="000C2E96"/>
    <w:rsid w:val="000C5709"/>
    <w:rsid w:val="000D107C"/>
    <w:rsid w:val="0010072C"/>
    <w:rsid w:val="001059FA"/>
    <w:rsid w:val="00121A2F"/>
    <w:rsid w:val="00160EF1"/>
    <w:rsid w:val="00181CDF"/>
    <w:rsid w:val="00183B05"/>
    <w:rsid w:val="0018448B"/>
    <w:rsid w:val="001919E8"/>
    <w:rsid w:val="001A1D6A"/>
    <w:rsid w:val="001B3340"/>
    <w:rsid w:val="001C2C5E"/>
    <w:rsid w:val="001C5D80"/>
    <w:rsid w:val="001F63B4"/>
    <w:rsid w:val="001F7DDD"/>
    <w:rsid w:val="00205CF4"/>
    <w:rsid w:val="002160A3"/>
    <w:rsid w:val="00226B79"/>
    <w:rsid w:val="00245AEE"/>
    <w:rsid w:val="00246A60"/>
    <w:rsid w:val="002535AD"/>
    <w:rsid w:val="00254456"/>
    <w:rsid w:val="00257110"/>
    <w:rsid w:val="002825AF"/>
    <w:rsid w:val="002829CB"/>
    <w:rsid w:val="0028654E"/>
    <w:rsid w:val="00287E05"/>
    <w:rsid w:val="00290608"/>
    <w:rsid w:val="002A4EFE"/>
    <w:rsid w:val="002B673A"/>
    <w:rsid w:val="002B7C1B"/>
    <w:rsid w:val="002C589C"/>
    <w:rsid w:val="002D360F"/>
    <w:rsid w:val="002E3351"/>
    <w:rsid w:val="002E57E1"/>
    <w:rsid w:val="002E5C11"/>
    <w:rsid w:val="002E627C"/>
    <w:rsid w:val="003210DB"/>
    <w:rsid w:val="00321B31"/>
    <w:rsid w:val="00342BB7"/>
    <w:rsid w:val="003445CF"/>
    <w:rsid w:val="00354679"/>
    <w:rsid w:val="00356B6D"/>
    <w:rsid w:val="00373D86"/>
    <w:rsid w:val="003776B6"/>
    <w:rsid w:val="00385A9D"/>
    <w:rsid w:val="003B6F5E"/>
    <w:rsid w:val="003C0F7F"/>
    <w:rsid w:val="003E47AE"/>
    <w:rsid w:val="003F139D"/>
    <w:rsid w:val="003F1787"/>
    <w:rsid w:val="003F290F"/>
    <w:rsid w:val="003F7640"/>
    <w:rsid w:val="00402BE0"/>
    <w:rsid w:val="00403525"/>
    <w:rsid w:val="004056A9"/>
    <w:rsid w:val="00407BCA"/>
    <w:rsid w:val="00410B9E"/>
    <w:rsid w:val="004223F5"/>
    <w:rsid w:val="0045257C"/>
    <w:rsid w:val="004554DD"/>
    <w:rsid w:val="00464878"/>
    <w:rsid w:val="004810F1"/>
    <w:rsid w:val="004A136C"/>
    <w:rsid w:val="004A6A16"/>
    <w:rsid w:val="004A7680"/>
    <w:rsid w:val="004B0502"/>
    <w:rsid w:val="004B4C40"/>
    <w:rsid w:val="004B7F53"/>
    <w:rsid w:val="004D526A"/>
    <w:rsid w:val="004E233E"/>
    <w:rsid w:val="004F75FB"/>
    <w:rsid w:val="00513474"/>
    <w:rsid w:val="00513C69"/>
    <w:rsid w:val="005169F1"/>
    <w:rsid w:val="00517F37"/>
    <w:rsid w:val="005213E6"/>
    <w:rsid w:val="005265FC"/>
    <w:rsid w:val="005310BA"/>
    <w:rsid w:val="00561BA9"/>
    <w:rsid w:val="00563106"/>
    <w:rsid w:val="00563F96"/>
    <w:rsid w:val="00566BBE"/>
    <w:rsid w:val="00570496"/>
    <w:rsid w:val="00571CD7"/>
    <w:rsid w:val="00574ABA"/>
    <w:rsid w:val="00577518"/>
    <w:rsid w:val="0058064D"/>
    <w:rsid w:val="0059644B"/>
    <w:rsid w:val="005A5812"/>
    <w:rsid w:val="005C68E4"/>
    <w:rsid w:val="005C6C46"/>
    <w:rsid w:val="005C6CA8"/>
    <w:rsid w:val="005D0FDB"/>
    <w:rsid w:val="005E15AB"/>
    <w:rsid w:val="005E3FF3"/>
    <w:rsid w:val="005F699D"/>
    <w:rsid w:val="00606064"/>
    <w:rsid w:val="006178C8"/>
    <w:rsid w:val="006220B9"/>
    <w:rsid w:val="00623812"/>
    <w:rsid w:val="00630B77"/>
    <w:rsid w:val="00644497"/>
    <w:rsid w:val="0065065A"/>
    <w:rsid w:val="00657765"/>
    <w:rsid w:val="00670150"/>
    <w:rsid w:val="00697B3E"/>
    <w:rsid w:val="006A02DB"/>
    <w:rsid w:val="006A3063"/>
    <w:rsid w:val="006B1F22"/>
    <w:rsid w:val="006E7E43"/>
    <w:rsid w:val="0070452A"/>
    <w:rsid w:val="0070483B"/>
    <w:rsid w:val="007126A3"/>
    <w:rsid w:val="00715813"/>
    <w:rsid w:val="00724148"/>
    <w:rsid w:val="007461CF"/>
    <w:rsid w:val="007555CB"/>
    <w:rsid w:val="007A0E0B"/>
    <w:rsid w:val="007A37EC"/>
    <w:rsid w:val="007F0BE0"/>
    <w:rsid w:val="007F3022"/>
    <w:rsid w:val="007F3193"/>
    <w:rsid w:val="00805E1A"/>
    <w:rsid w:val="00815242"/>
    <w:rsid w:val="00833D50"/>
    <w:rsid w:val="0083408D"/>
    <w:rsid w:val="00843789"/>
    <w:rsid w:val="00847C88"/>
    <w:rsid w:val="0085574C"/>
    <w:rsid w:val="008557F7"/>
    <w:rsid w:val="00871241"/>
    <w:rsid w:val="0088510D"/>
    <w:rsid w:val="008B006E"/>
    <w:rsid w:val="008C591C"/>
    <w:rsid w:val="008D3AA4"/>
    <w:rsid w:val="008E395A"/>
    <w:rsid w:val="008F6660"/>
    <w:rsid w:val="00924A1D"/>
    <w:rsid w:val="00930CFE"/>
    <w:rsid w:val="009327FE"/>
    <w:rsid w:val="00942ADA"/>
    <w:rsid w:val="00942B0E"/>
    <w:rsid w:val="009627F8"/>
    <w:rsid w:val="009751C7"/>
    <w:rsid w:val="0098178D"/>
    <w:rsid w:val="00985D08"/>
    <w:rsid w:val="00992892"/>
    <w:rsid w:val="009A2293"/>
    <w:rsid w:val="009B3816"/>
    <w:rsid w:val="009C187D"/>
    <w:rsid w:val="009C259A"/>
    <w:rsid w:val="009C34BB"/>
    <w:rsid w:val="009C741A"/>
    <w:rsid w:val="009C7905"/>
    <w:rsid w:val="009F3F77"/>
    <w:rsid w:val="00A138D0"/>
    <w:rsid w:val="00A30971"/>
    <w:rsid w:val="00A42C54"/>
    <w:rsid w:val="00A60C2B"/>
    <w:rsid w:val="00A756BA"/>
    <w:rsid w:val="00A83A46"/>
    <w:rsid w:val="00A87E15"/>
    <w:rsid w:val="00A926F5"/>
    <w:rsid w:val="00AA6BBB"/>
    <w:rsid w:val="00AB059D"/>
    <w:rsid w:val="00AC0312"/>
    <w:rsid w:val="00AD30E8"/>
    <w:rsid w:val="00AE7C60"/>
    <w:rsid w:val="00AE7F14"/>
    <w:rsid w:val="00AF7AA5"/>
    <w:rsid w:val="00B05B55"/>
    <w:rsid w:val="00B071AF"/>
    <w:rsid w:val="00B07D78"/>
    <w:rsid w:val="00B20B45"/>
    <w:rsid w:val="00B3140D"/>
    <w:rsid w:val="00B419F1"/>
    <w:rsid w:val="00B41A88"/>
    <w:rsid w:val="00B4609C"/>
    <w:rsid w:val="00B465CC"/>
    <w:rsid w:val="00B550DC"/>
    <w:rsid w:val="00B7079A"/>
    <w:rsid w:val="00B914CD"/>
    <w:rsid w:val="00B929D7"/>
    <w:rsid w:val="00BA2FCC"/>
    <w:rsid w:val="00BB0D90"/>
    <w:rsid w:val="00BB5DAB"/>
    <w:rsid w:val="00BC1182"/>
    <w:rsid w:val="00BD3877"/>
    <w:rsid w:val="00BD4870"/>
    <w:rsid w:val="00BF5931"/>
    <w:rsid w:val="00BF7BBD"/>
    <w:rsid w:val="00C3312A"/>
    <w:rsid w:val="00C368D7"/>
    <w:rsid w:val="00C575F9"/>
    <w:rsid w:val="00C609C4"/>
    <w:rsid w:val="00C71900"/>
    <w:rsid w:val="00C73922"/>
    <w:rsid w:val="00C82C9B"/>
    <w:rsid w:val="00C90A06"/>
    <w:rsid w:val="00C96588"/>
    <w:rsid w:val="00CA56E2"/>
    <w:rsid w:val="00CA6D81"/>
    <w:rsid w:val="00CC4980"/>
    <w:rsid w:val="00CD4ED2"/>
    <w:rsid w:val="00CD579B"/>
    <w:rsid w:val="00CE2EA5"/>
    <w:rsid w:val="00CE316F"/>
    <w:rsid w:val="00CE4C95"/>
    <w:rsid w:val="00CF074F"/>
    <w:rsid w:val="00CF3DC0"/>
    <w:rsid w:val="00CF472A"/>
    <w:rsid w:val="00D36BAF"/>
    <w:rsid w:val="00D56B3E"/>
    <w:rsid w:val="00D6723B"/>
    <w:rsid w:val="00D90607"/>
    <w:rsid w:val="00DB5223"/>
    <w:rsid w:val="00DB629E"/>
    <w:rsid w:val="00DB67EE"/>
    <w:rsid w:val="00DC029A"/>
    <w:rsid w:val="00DC3AF1"/>
    <w:rsid w:val="00DE4ADC"/>
    <w:rsid w:val="00E1116D"/>
    <w:rsid w:val="00E213C7"/>
    <w:rsid w:val="00E22FF9"/>
    <w:rsid w:val="00E279D0"/>
    <w:rsid w:val="00E27C8B"/>
    <w:rsid w:val="00E32ACF"/>
    <w:rsid w:val="00E35CFB"/>
    <w:rsid w:val="00E448A2"/>
    <w:rsid w:val="00E44C74"/>
    <w:rsid w:val="00E5266F"/>
    <w:rsid w:val="00E57974"/>
    <w:rsid w:val="00E61772"/>
    <w:rsid w:val="00E85C8E"/>
    <w:rsid w:val="00E91B49"/>
    <w:rsid w:val="00E92DF4"/>
    <w:rsid w:val="00EC3CC1"/>
    <w:rsid w:val="00EC6B71"/>
    <w:rsid w:val="00ED5F62"/>
    <w:rsid w:val="00F05F48"/>
    <w:rsid w:val="00F143D5"/>
    <w:rsid w:val="00F16942"/>
    <w:rsid w:val="00F35779"/>
    <w:rsid w:val="00F3700B"/>
    <w:rsid w:val="00F44ACA"/>
    <w:rsid w:val="00F50517"/>
    <w:rsid w:val="00F51704"/>
    <w:rsid w:val="00F523F9"/>
    <w:rsid w:val="00F54D94"/>
    <w:rsid w:val="00F75692"/>
    <w:rsid w:val="00F80EBB"/>
    <w:rsid w:val="00F8763C"/>
    <w:rsid w:val="00FA7205"/>
    <w:rsid w:val="00FE118C"/>
    <w:rsid w:val="00FF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0E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05"/>
    <w:rPr>
      <w:color w:val="0000FF" w:themeColor="hyperlink"/>
      <w:u w:val="single"/>
    </w:rPr>
  </w:style>
  <w:style w:type="paragraph" w:styleId="FootnoteText">
    <w:name w:val="footnote text"/>
    <w:basedOn w:val="Normal"/>
    <w:link w:val="FootnoteTextChar"/>
    <w:uiPriority w:val="99"/>
    <w:unhideWhenUsed/>
    <w:rsid w:val="00E279D0"/>
  </w:style>
  <w:style w:type="character" w:customStyle="1" w:styleId="FootnoteTextChar">
    <w:name w:val="Footnote Text Char"/>
    <w:basedOn w:val="DefaultParagraphFont"/>
    <w:link w:val="FootnoteText"/>
    <w:uiPriority w:val="99"/>
    <w:rsid w:val="00E279D0"/>
  </w:style>
  <w:style w:type="character" w:styleId="FootnoteReference">
    <w:name w:val="footnote reference"/>
    <w:basedOn w:val="DefaultParagraphFont"/>
    <w:uiPriority w:val="99"/>
    <w:unhideWhenUsed/>
    <w:rsid w:val="00E279D0"/>
    <w:rPr>
      <w:vertAlign w:val="superscript"/>
    </w:rPr>
  </w:style>
  <w:style w:type="character" w:customStyle="1" w:styleId="exlresultdetails">
    <w:name w:val="exlresultdetails"/>
    <w:basedOn w:val="DefaultParagraphFont"/>
    <w:rsid w:val="00C368D7"/>
  </w:style>
  <w:style w:type="character" w:customStyle="1" w:styleId="searchword">
    <w:name w:val="searchword"/>
    <w:basedOn w:val="DefaultParagraphFont"/>
    <w:rsid w:val="00B20B45"/>
  </w:style>
  <w:style w:type="paragraph" w:styleId="Footer">
    <w:name w:val="footer"/>
    <w:basedOn w:val="Normal"/>
    <w:link w:val="FooterChar"/>
    <w:uiPriority w:val="99"/>
    <w:unhideWhenUsed/>
    <w:rsid w:val="004554DD"/>
    <w:pPr>
      <w:tabs>
        <w:tab w:val="center" w:pos="4320"/>
        <w:tab w:val="right" w:pos="8640"/>
      </w:tabs>
    </w:pPr>
  </w:style>
  <w:style w:type="character" w:customStyle="1" w:styleId="FooterChar">
    <w:name w:val="Footer Char"/>
    <w:basedOn w:val="DefaultParagraphFont"/>
    <w:link w:val="Footer"/>
    <w:uiPriority w:val="99"/>
    <w:rsid w:val="004554DD"/>
  </w:style>
  <w:style w:type="character" w:styleId="PageNumber">
    <w:name w:val="page number"/>
    <w:basedOn w:val="DefaultParagraphFont"/>
    <w:uiPriority w:val="99"/>
    <w:semiHidden/>
    <w:unhideWhenUsed/>
    <w:rsid w:val="00455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05"/>
    <w:rPr>
      <w:color w:val="0000FF" w:themeColor="hyperlink"/>
      <w:u w:val="single"/>
    </w:rPr>
  </w:style>
  <w:style w:type="paragraph" w:styleId="FootnoteText">
    <w:name w:val="footnote text"/>
    <w:basedOn w:val="Normal"/>
    <w:link w:val="FootnoteTextChar"/>
    <w:uiPriority w:val="99"/>
    <w:unhideWhenUsed/>
    <w:rsid w:val="00E279D0"/>
  </w:style>
  <w:style w:type="character" w:customStyle="1" w:styleId="FootnoteTextChar">
    <w:name w:val="Footnote Text Char"/>
    <w:basedOn w:val="DefaultParagraphFont"/>
    <w:link w:val="FootnoteText"/>
    <w:uiPriority w:val="99"/>
    <w:rsid w:val="00E279D0"/>
  </w:style>
  <w:style w:type="character" w:styleId="FootnoteReference">
    <w:name w:val="footnote reference"/>
    <w:basedOn w:val="DefaultParagraphFont"/>
    <w:uiPriority w:val="99"/>
    <w:unhideWhenUsed/>
    <w:rsid w:val="00E279D0"/>
    <w:rPr>
      <w:vertAlign w:val="superscript"/>
    </w:rPr>
  </w:style>
  <w:style w:type="character" w:customStyle="1" w:styleId="exlresultdetails">
    <w:name w:val="exlresultdetails"/>
    <w:basedOn w:val="DefaultParagraphFont"/>
    <w:rsid w:val="00C368D7"/>
  </w:style>
  <w:style w:type="character" w:customStyle="1" w:styleId="searchword">
    <w:name w:val="searchword"/>
    <w:basedOn w:val="DefaultParagraphFont"/>
    <w:rsid w:val="00B20B45"/>
  </w:style>
  <w:style w:type="paragraph" w:styleId="Footer">
    <w:name w:val="footer"/>
    <w:basedOn w:val="Normal"/>
    <w:link w:val="FooterChar"/>
    <w:uiPriority w:val="99"/>
    <w:unhideWhenUsed/>
    <w:rsid w:val="004554DD"/>
    <w:pPr>
      <w:tabs>
        <w:tab w:val="center" w:pos="4320"/>
        <w:tab w:val="right" w:pos="8640"/>
      </w:tabs>
    </w:pPr>
  </w:style>
  <w:style w:type="character" w:customStyle="1" w:styleId="FooterChar">
    <w:name w:val="Footer Char"/>
    <w:basedOn w:val="DefaultParagraphFont"/>
    <w:link w:val="Footer"/>
    <w:uiPriority w:val="99"/>
    <w:rsid w:val="004554DD"/>
  </w:style>
  <w:style w:type="character" w:styleId="PageNumber">
    <w:name w:val="page number"/>
    <w:basedOn w:val="DefaultParagraphFont"/>
    <w:uiPriority w:val="99"/>
    <w:semiHidden/>
    <w:unhideWhenUsed/>
    <w:rsid w:val="0045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6718">
      <w:bodyDiv w:val="1"/>
      <w:marLeft w:val="0"/>
      <w:marRight w:val="0"/>
      <w:marTop w:val="0"/>
      <w:marBottom w:val="0"/>
      <w:divBdr>
        <w:top w:val="none" w:sz="0" w:space="0" w:color="auto"/>
        <w:left w:val="none" w:sz="0" w:space="0" w:color="auto"/>
        <w:bottom w:val="none" w:sz="0" w:space="0" w:color="auto"/>
        <w:right w:val="none" w:sz="0" w:space="0" w:color="auto"/>
      </w:divBdr>
      <w:divsChild>
        <w:div w:id="1886873448">
          <w:marLeft w:val="0"/>
          <w:marRight w:val="0"/>
          <w:marTop w:val="0"/>
          <w:marBottom w:val="0"/>
          <w:divBdr>
            <w:top w:val="none" w:sz="0" w:space="0" w:color="auto"/>
            <w:left w:val="none" w:sz="0" w:space="0" w:color="auto"/>
            <w:bottom w:val="none" w:sz="0" w:space="0" w:color="auto"/>
            <w:right w:val="none" w:sz="0" w:space="0" w:color="auto"/>
          </w:divBdr>
        </w:div>
        <w:div w:id="730735242">
          <w:marLeft w:val="0"/>
          <w:marRight w:val="0"/>
          <w:marTop w:val="0"/>
          <w:marBottom w:val="0"/>
          <w:divBdr>
            <w:top w:val="none" w:sz="0" w:space="0" w:color="auto"/>
            <w:left w:val="none" w:sz="0" w:space="0" w:color="auto"/>
            <w:bottom w:val="none" w:sz="0" w:space="0" w:color="auto"/>
            <w:right w:val="none" w:sz="0" w:space="0" w:color="auto"/>
          </w:divBdr>
        </w:div>
      </w:divsChild>
    </w:div>
    <w:div w:id="1762988621">
      <w:bodyDiv w:val="1"/>
      <w:marLeft w:val="0"/>
      <w:marRight w:val="0"/>
      <w:marTop w:val="0"/>
      <w:marBottom w:val="0"/>
      <w:divBdr>
        <w:top w:val="none" w:sz="0" w:space="0" w:color="auto"/>
        <w:left w:val="none" w:sz="0" w:space="0" w:color="auto"/>
        <w:bottom w:val="none" w:sz="0" w:space="0" w:color="auto"/>
        <w:right w:val="none" w:sz="0" w:space="0" w:color="auto"/>
      </w:divBdr>
      <w:divsChild>
        <w:div w:id="2041662317">
          <w:marLeft w:val="0"/>
          <w:marRight w:val="0"/>
          <w:marTop w:val="0"/>
          <w:marBottom w:val="0"/>
          <w:divBdr>
            <w:top w:val="none" w:sz="0" w:space="0" w:color="auto"/>
            <w:left w:val="none" w:sz="0" w:space="0" w:color="auto"/>
            <w:bottom w:val="none" w:sz="0" w:space="0" w:color="auto"/>
            <w:right w:val="none" w:sz="0" w:space="0" w:color="auto"/>
          </w:divBdr>
        </w:div>
        <w:div w:id="791243863">
          <w:marLeft w:val="0"/>
          <w:marRight w:val="0"/>
          <w:marTop w:val="0"/>
          <w:marBottom w:val="0"/>
          <w:divBdr>
            <w:top w:val="none" w:sz="0" w:space="0" w:color="auto"/>
            <w:left w:val="none" w:sz="0" w:space="0" w:color="auto"/>
            <w:bottom w:val="none" w:sz="0" w:space="0" w:color="auto"/>
            <w:right w:val="none" w:sz="0" w:space="0" w:color="auto"/>
          </w:divBdr>
        </w:div>
      </w:divsChild>
    </w:div>
    <w:div w:id="2014532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5721</Words>
  <Characters>32614</Characters>
  <Application>Microsoft Macintosh Word</Application>
  <DocSecurity>0</DocSecurity>
  <Lines>271</Lines>
  <Paragraphs>76</Paragraphs>
  <ScaleCrop>false</ScaleCrop>
  <Company>University of Auckland</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Thompson</dc:creator>
  <cp:keywords/>
  <dc:description/>
  <cp:lastModifiedBy>Andrew Thompson</cp:lastModifiedBy>
  <cp:revision>2</cp:revision>
  <dcterms:created xsi:type="dcterms:W3CDTF">2015-10-15T08:19:00Z</dcterms:created>
  <dcterms:modified xsi:type="dcterms:W3CDTF">2015-10-15T08:19:00Z</dcterms:modified>
</cp:coreProperties>
</file>